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after="0" w:line="240" w:lineRule="auto"/>
        <w:rPr>
          <w:rFonts w:ascii="黑体" w:hAnsi="黑体" w:eastAsia="黑体" w:cs="黑体"/>
          <w:b w:val="0"/>
          <w:bCs w:val="0"/>
          <w:color w:val="000000"/>
          <w:sz w:val="36"/>
          <w:szCs w:val="36"/>
        </w:rPr>
      </w:pPr>
      <w:r>
        <w:rPr>
          <w:rFonts w:hint="eastAsia" w:ascii="黑体" w:hAnsi="黑体" w:eastAsia="黑体" w:cs="黑体"/>
          <w:b w:val="0"/>
          <w:color w:val="000000"/>
          <w:sz w:val="36"/>
          <w:szCs w:val="36"/>
        </w:rPr>
        <w:t>团体标准《</w:t>
      </w:r>
      <w:r>
        <w:rPr>
          <w:rFonts w:hint="eastAsia" w:ascii="黑体" w:hAnsi="黑体" w:eastAsia="黑体" w:cs="黑体"/>
          <w:b w:val="0"/>
          <w:bCs w:val="0"/>
          <w:color w:val="000000"/>
          <w:sz w:val="36"/>
          <w:szCs w:val="36"/>
        </w:rPr>
        <w:t>薯类支链直链淀粉含量的测定  双波长比色法</w:t>
      </w:r>
      <w:r>
        <w:rPr>
          <w:rFonts w:hint="eastAsia" w:ascii="黑体" w:hAnsi="黑体" w:eastAsia="黑体" w:cs="黑体"/>
          <w:b w:val="0"/>
          <w:color w:val="000000"/>
          <w:sz w:val="36"/>
          <w:szCs w:val="36"/>
        </w:rPr>
        <w:t>》</w:t>
      </w:r>
    </w:p>
    <w:p>
      <w:pPr>
        <w:jc w:val="center"/>
        <w:rPr>
          <w:rFonts w:ascii="黑体" w:hAnsi="黑体" w:eastAsia="黑体" w:cs="黑体"/>
          <w:bCs/>
          <w:color w:val="000000"/>
          <w:sz w:val="36"/>
          <w:szCs w:val="36"/>
        </w:rPr>
      </w:pPr>
      <w:r>
        <w:rPr>
          <w:rFonts w:hint="eastAsia" w:ascii="黑体" w:hAnsi="黑体" w:eastAsia="黑体" w:cs="黑体"/>
          <w:bCs/>
          <w:color w:val="000000"/>
          <w:sz w:val="36"/>
          <w:szCs w:val="36"/>
        </w:rPr>
        <w:t>（征求意见稿）编制说明</w:t>
      </w:r>
    </w:p>
    <w:p>
      <w:pPr>
        <w:jc w:val="center"/>
        <w:rPr>
          <w:rFonts w:ascii="黑体" w:hAnsi="黑体" w:eastAsia="黑体" w:cs="黑体"/>
          <w:bCs/>
          <w:color w:val="000000"/>
          <w:sz w:val="36"/>
          <w:szCs w:val="36"/>
        </w:rPr>
      </w:pPr>
    </w:p>
    <w:p>
      <w:pPr>
        <w:pStyle w:val="14"/>
        <w:numPr>
          <w:ilvl w:val="0"/>
          <w:numId w:val="5"/>
        </w:numPr>
        <w:adjustRightInd w:val="0"/>
        <w:snapToGrid w:val="0"/>
        <w:spacing w:beforeLines="50" w:line="360" w:lineRule="auto"/>
        <w:ind w:left="0" w:firstLine="0" w:firstLineChars="0"/>
        <w:outlineLvl w:val="1"/>
        <w:rPr>
          <w:rFonts w:ascii="黑体" w:hAnsi="黑体" w:eastAsia="黑体" w:cs="黑体"/>
          <w:bCs/>
          <w:sz w:val="32"/>
          <w:szCs w:val="32"/>
        </w:rPr>
      </w:pPr>
      <w:r>
        <w:rPr>
          <w:rFonts w:hint="eastAsia" w:ascii="黑体" w:hAnsi="黑体" w:eastAsia="黑体" w:cs="黑体"/>
          <w:bCs/>
          <w:color w:val="000000" w:themeColor="text1"/>
          <w:sz w:val="32"/>
          <w:szCs w:val="32"/>
          <w:lang w:val="zh-CN"/>
        </w:rPr>
        <w:t>项目来源</w:t>
      </w:r>
    </w:p>
    <w:p>
      <w:pPr>
        <w:ind w:firstLine="560" w:firstLineChars="200"/>
        <w:rPr>
          <w:rFonts w:ascii="仿宋_GB2312" w:hAnsi="宋体" w:eastAsia="仿宋_GB2312"/>
          <w:sz w:val="28"/>
          <w:szCs w:val="28"/>
          <w:lang w:val="zh-CN"/>
        </w:rPr>
      </w:pPr>
      <w:r>
        <w:rPr>
          <w:rFonts w:hint="eastAsia" w:ascii="仿宋_GB2312" w:hAnsi="宋体" w:eastAsia="仿宋_GB2312"/>
          <w:sz w:val="28"/>
          <w:szCs w:val="28"/>
          <w:lang w:val="zh-CN"/>
        </w:rPr>
        <w:t>根据《关于下达2021年第十三批团体标准制修订项目计划的通知》（桂标协﹝2021﹞32号）文件精神，由广西壮族自治区农业科学院农产品质量安全与检测技术研究所提出并起草的团体标准《薯类支链直链淀粉含量的测定  双波长比色法》（项目编号：2021-1301）。</w:t>
      </w:r>
    </w:p>
    <w:p>
      <w:pPr>
        <w:pStyle w:val="14"/>
        <w:numPr>
          <w:ilvl w:val="0"/>
          <w:numId w:val="5"/>
        </w:numPr>
        <w:adjustRightInd w:val="0"/>
        <w:snapToGrid w:val="0"/>
        <w:spacing w:beforeLines="50" w:line="360" w:lineRule="auto"/>
        <w:ind w:left="0" w:firstLine="0" w:firstLineChars="0"/>
        <w:outlineLvl w:val="1"/>
        <w:rPr>
          <w:rFonts w:ascii="黑体" w:hAnsi="黑体" w:eastAsia="黑体" w:cs="黑体"/>
          <w:bCs/>
          <w:sz w:val="32"/>
          <w:szCs w:val="32"/>
        </w:rPr>
      </w:pPr>
      <w:r>
        <w:rPr>
          <w:rFonts w:hint="eastAsia" w:ascii="黑体" w:hAnsi="黑体" w:eastAsia="黑体" w:cs="黑体"/>
          <w:bCs/>
          <w:color w:val="000000" w:themeColor="text1"/>
          <w:sz w:val="32"/>
          <w:szCs w:val="32"/>
          <w:lang w:val="zh-CN"/>
        </w:rPr>
        <w:t>项目背景及目的意义</w:t>
      </w:r>
    </w:p>
    <w:p>
      <w:pPr>
        <w:autoSpaceDE w:val="0"/>
        <w:autoSpaceDN w:val="0"/>
        <w:adjustRightInd w:val="0"/>
        <w:ind w:firstLine="560" w:firstLineChars="200"/>
        <w:rPr>
          <w:rFonts w:ascii="仿宋_GB2312" w:hAnsi="宋体" w:eastAsia="仿宋_GB2312"/>
          <w:sz w:val="28"/>
          <w:szCs w:val="28"/>
          <w:lang w:val="zh-CN"/>
        </w:rPr>
      </w:pPr>
      <w:r>
        <w:rPr>
          <w:rFonts w:hint="eastAsia" w:ascii="仿宋_GB2312" w:hAnsi="宋体" w:eastAsia="仿宋_GB2312"/>
          <w:sz w:val="28"/>
          <w:szCs w:val="28"/>
          <w:lang w:val="zh-CN"/>
        </w:rPr>
        <w:t>薯类作物又称根茎类作物包括马铃薯、甘薯、木薯、山药、芋类等形成地下块茎、块根等变态储藏器官的作物，目前薯类的播种面积约占粮食作物面积的 9％，总产量约占粮食的 8％，是我国主要粮食作物之一。薯类作物生产稳定性在保障国家粮食安全、推动社会经济可持续发展具有重要的作用。从“十三五”规划国家将马铃薯纳入国家粮食储备计划以来，薯类的用途和地位发生了变化，薯类生产已经得到了国家和各地政府的高度重视。农业农村部2016年发布的《关于深入推进农业供给侧结构性改革加快培育农业农村发展新动能的若干意见》和自治区2018年发布的《关于加快推进农业供给侧结构性改革大力发展粮食产业经济切实保障粮食安全的实施意见》等意见，都提出增加优质薯类、食用大豆、杂粮杂豆等粮食作物品种储备；加强粮食质量安全检验监测体系建设。因此建立科学系统的薯类品质检测体系，为建设营养指标的薯类品种选育提供技术支持，对创新营养提升的薯类种植技术，引领薯类市场优质优价，实现高质量发展具有积极意义</w:t>
      </w:r>
      <w:r>
        <w:rPr>
          <w:rFonts w:ascii="仿宋_GB2312" w:hAnsi="宋体" w:eastAsia="仿宋_GB2312"/>
          <w:sz w:val="28"/>
          <w:szCs w:val="28"/>
          <w:lang w:val="zh-CN"/>
        </w:rPr>
        <w:t>。</w:t>
      </w:r>
    </w:p>
    <w:p>
      <w:pPr>
        <w:autoSpaceDE w:val="0"/>
        <w:autoSpaceDN w:val="0"/>
        <w:adjustRightInd w:val="0"/>
        <w:ind w:firstLine="560" w:firstLineChars="200"/>
        <w:rPr>
          <w:rFonts w:ascii="仿宋_GB2312" w:hAnsi="宋体" w:eastAsia="仿宋_GB2312"/>
          <w:sz w:val="28"/>
          <w:szCs w:val="28"/>
          <w:lang w:val="zh-CN"/>
        </w:rPr>
      </w:pPr>
      <w:r>
        <w:rPr>
          <w:rFonts w:hint="eastAsia" w:ascii="仿宋_GB2312" w:hAnsi="宋体" w:eastAsia="仿宋_GB2312"/>
          <w:sz w:val="28"/>
          <w:szCs w:val="28"/>
          <w:lang w:val="zh-CN"/>
        </w:rPr>
        <w:t>淀粉是由葡萄糖单位构成的无味无臭的白色粉末的集合体, 分子式为 (C6H10O5)n, 是植物贮存营养的一种形式,是人类粮食及动物饲料的重要来源。 淀粉分为直链淀粉和支链淀粉，其含量影响着食品的食用品质和外观品质。营养学证实, 高直链淀粉饮食能降低对胰岛素的需求和维持血糖水平。在食物品质上，直链淀粉分子易于凝沉（老化），支链淀粉分子不易凝沉。支链淀粉含量高的食品较难以老化,储存稳定性越高，其货架寿命也越长。有研究表明山药的抗性淀粉含量与直链淀粉的含量显著正相关，因此直链、支链淀粉的含量直接影响着薯类的加工特性、食用品质。同时也是提升薯类品质和种质的重要依据，作物遗传研究部门需要根据直链淀粉含量等指标挑选样品选育良种。广西是薯类的主要产地，其中木薯的种植面积和产量均占全国木薯种植面积及产量（年产鲜薯约700多万吨）的60%左右；甘薯种植面积约为2×105hm2左右；槟榔芋种植面积在1×105hm2左右；淮山3.8×105hm2左右。所以淀粉含量检测对于提高广西薯类作物品质非常重要。</w:t>
      </w:r>
    </w:p>
    <w:p>
      <w:pPr>
        <w:autoSpaceDE w:val="0"/>
        <w:autoSpaceDN w:val="0"/>
        <w:adjustRightInd w:val="0"/>
        <w:ind w:firstLine="560" w:firstLineChars="200"/>
        <w:rPr>
          <w:rFonts w:ascii="仿宋_GB2312" w:hAnsi="宋体" w:eastAsia="仿宋_GB2312"/>
          <w:sz w:val="28"/>
          <w:szCs w:val="28"/>
          <w:lang w:val="zh-CN"/>
        </w:rPr>
      </w:pPr>
      <w:r>
        <w:rPr>
          <w:rFonts w:hint="eastAsia" w:ascii="仿宋_GB2312" w:hAnsi="宋体" w:eastAsia="仿宋_GB2312"/>
          <w:sz w:val="28"/>
          <w:szCs w:val="28"/>
          <w:lang w:val="zh-CN"/>
        </w:rPr>
        <w:t>长期以来，薯类作为传统食品与人们的主食、营养和健康密不可分。经过多年的发展，目前形成的特色鲜食薯类的“生产－产地贮藏保鲜－物流与联网配送”产业体系，极大地延长了鲜食供应期，促进了人们对鲜薯周年供应和优化膳食营养结构的需求。我国农业正在加快进入满足营养健康需求新阶段，农业生产从生存型食物供给保障向高质量健康型满足营养需求转型，食物供给从满足一般性大众型食物消费需求为主向满足特定消费需求转型时期，团体标准《薯类支链直链淀粉含量的测定  双波长比色法  双波长比色法》标准的构建有利于广西薯类产业的高质量健康发展，促进品质营养型农业产业的快速发展。</w:t>
      </w:r>
    </w:p>
    <w:p>
      <w:pPr>
        <w:pStyle w:val="14"/>
        <w:numPr>
          <w:ilvl w:val="0"/>
          <w:numId w:val="5"/>
        </w:numPr>
        <w:adjustRightInd w:val="0"/>
        <w:snapToGrid w:val="0"/>
        <w:spacing w:beforeLines="50" w:line="360" w:lineRule="auto"/>
        <w:ind w:left="0" w:firstLine="0" w:firstLineChars="0"/>
        <w:outlineLvl w:val="1"/>
        <w:rPr>
          <w:rFonts w:ascii="黑体" w:hAnsi="黑体" w:eastAsia="黑体" w:cs="黑体"/>
          <w:bCs/>
          <w:sz w:val="32"/>
          <w:szCs w:val="32"/>
        </w:rPr>
      </w:pPr>
      <w:r>
        <w:rPr>
          <w:rFonts w:hint="eastAsia" w:ascii="黑体" w:hAnsi="黑体" w:eastAsia="黑体" w:cs="黑体"/>
          <w:bCs/>
          <w:color w:val="000000" w:themeColor="text1"/>
          <w:sz w:val="32"/>
          <w:szCs w:val="32"/>
          <w:lang w:val="zh-CN"/>
        </w:rPr>
        <w:t>标准编制过程</w:t>
      </w:r>
    </w:p>
    <w:p>
      <w:pPr>
        <w:pStyle w:val="4"/>
        <w:spacing w:beforeAutospacing="0" w:afterAutospacing="0"/>
        <w:rPr>
          <w:rFonts w:hint="default" w:ascii="黑体" w:hAnsi="黑体" w:eastAsia="黑体" w:cs="黑体"/>
          <w:bCs/>
          <w:sz w:val="32"/>
          <w:szCs w:val="32"/>
        </w:rPr>
      </w:pPr>
      <w:r>
        <w:rPr>
          <w:rFonts w:ascii="仿宋_GB2312" w:hAnsi="仿宋_GB2312" w:eastAsia="仿宋_GB2312" w:cs="仿宋_GB2312"/>
          <w:sz w:val="28"/>
          <w:szCs w:val="28"/>
        </w:rPr>
        <w:t>（一）成立标准编制工作组</w:t>
      </w:r>
    </w:p>
    <w:p>
      <w:pPr>
        <w:ind w:firstLine="560" w:firstLineChars="200"/>
        <w:rPr>
          <w:rFonts w:ascii="仿宋_GB2312" w:hAnsi="宋体" w:eastAsia="仿宋_GB2312"/>
          <w:sz w:val="28"/>
          <w:szCs w:val="28"/>
        </w:rPr>
      </w:pPr>
      <w:r>
        <w:rPr>
          <w:rFonts w:hint="eastAsia" w:ascii="仿宋_GB2312" w:hAnsi="宋体" w:eastAsia="仿宋_GB2312"/>
          <w:sz w:val="28"/>
          <w:szCs w:val="28"/>
        </w:rPr>
        <w:t>团体标准《</w:t>
      </w:r>
      <w:r>
        <w:rPr>
          <w:rFonts w:hint="eastAsia" w:ascii="仿宋_GB2312" w:hAnsi="宋体" w:eastAsia="仿宋_GB2312"/>
          <w:sz w:val="28"/>
          <w:szCs w:val="28"/>
          <w:lang w:val="zh-CN"/>
        </w:rPr>
        <w:t>薯类支链直链淀粉含量的测定  双波长比色法</w:t>
      </w:r>
      <w:r>
        <w:rPr>
          <w:rFonts w:hint="eastAsia" w:ascii="仿宋_GB2312" w:hAnsi="宋体" w:eastAsia="仿宋_GB2312"/>
          <w:sz w:val="28"/>
          <w:szCs w:val="28"/>
        </w:rPr>
        <w:t>》项目任务下达后，成立了标准编制工作组，制定了标准编写方案，明确任务职责，确定工作技术路线，开展标准研制工作，具体标准编制工作由</w:t>
      </w:r>
      <w:r>
        <w:rPr>
          <w:rFonts w:hint="eastAsia" w:ascii="仿宋_GB2312" w:hAnsi="宋体" w:eastAsia="仿宋_GB2312"/>
          <w:sz w:val="28"/>
          <w:szCs w:val="28"/>
          <w:lang w:val="zh-CN"/>
        </w:rPr>
        <w:t>广西壮族自治区农业科学院农产品质量安全与检测技术研究所</w:t>
      </w:r>
      <w:r>
        <w:rPr>
          <w:rFonts w:hint="eastAsia" w:ascii="仿宋_GB2312" w:hAnsi="宋体" w:eastAsia="仿宋_GB2312"/>
          <w:sz w:val="28"/>
          <w:szCs w:val="28"/>
        </w:rPr>
        <w:t>相关人员配合。</w:t>
      </w:r>
    </w:p>
    <w:p>
      <w:pPr>
        <w:pStyle w:val="4"/>
        <w:spacing w:beforeAutospacing="0" w:afterAutospacing="0"/>
        <w:rPr>
          <w:rFonts w:hint="default" w:ascii="仿宋_GB2312" w:hAnsi="仿宋_GB2312" w:eastAsia="仿宋_GB2312" w:cs="仿宋_GB2312"/>
          <w:b w:val="0"/>
          <w:sz w:val="28"/>
          <w:szCs w:val="28"/>
        </w:rPr>
      </w:pPr>
      <w:r>
        <w:rPr>
          <w:rFonts w:ascii="仿宋_GB2312" w:hAnsi="仿宋_GB2312" w:eastAsia="仿宋_GB2312" w:cs="仿宋_GB2312"/>
          <w:sz w:val="28"/>
          <w:szCs w:val="28"/>
        </w:rPr>
        <w:t>（二）收集整理文献资料</w:t>
      </w:r>
    </w:p>
    <w:p>
      <w:pPr>
        <w:ind w:firstLine="560" w:firstLineChars="200"/>
        <w:rPr>
          <w:rFonts w:ascii="仿宋_GB2312" w:hAnsi="宋体" w:eastAsia="仿宋_GB2312"/>
          <w:sz w:val="28"/>
          <w:szCs w:val="28"/>
        </w:rPr>
      </w:pPr>
      <w:r>
        <w:rPr>
          <w:rFonts w:hint="eastAsia" w:ascii="仿宋_GB2312" w:hAnsi="宋体" w:eastAsia="仿宋_GB2312"/>
          <w:sz w:val="28"/>
          <w:szCs w:val="28"/>
        </w:rPr>
        <w:t>标准编制工作组收集了国内与</w:t>
      </w:r>
      <w:r>
        <w:rPr>
          <w:rFonts w:hint="eastAsia" w:ascii="仿宋_GB2312" w:hAnsi="宋体" w:eastAsia="仿宋_GB2312"/>
          <w:sz w:val="28"/>
          <w:szCs w:val="28"/>
          <w:lang w:val="zh-CN"/>
        </w:rPr>
        <w:t>双波长比色法</w:t>
      </w:r>
      <w:r>
        <w:rPr>
          <w:rFonts w:hint="eastAsia" w:ascii="仿宋_GB2312" w:hAnsi="宋体" w:eastAsia="仿宋_GB2312"/>
          <w:sz w:val="28"/>
          <w:szCs w:val="28"/>
        </w:rPr>
        <w:t>测定</w:t>
      </w:r>
      <w:r>
        <w:rPr>
          <w:rFonts w:hint="eastAsia" w:ascii="仿宋_GB2312" w:hAnsi="宋体" w:eastAsia="仿宋_GB2312"/>
          <w:sz w:val="28"/>
          <w:szCs w:val="28"/>
          <w:lang w:val="zh-CN"/>
        </w:rPr>
        <w:t>支链直链淀粉含量的</w:t>
      </w:r>
      <w:r>
        <w:rPr>
          <w:rFonts w:hint="eastAsia" w:ascii="仿宋_GB2312" w:hAnsi="宋体" w:eastAsia="仿宋_GB2312"/>
          <w:sz w:val="28"/>
          <w:szCs w:val="28"/>
        </w:rPr>
        <w:t>相关标准，具体列出如下：</w:t>
      </w:r>
    </w:p>
    <w:p>
      <w:pPr>
        <w:ind w:firstLine="560" w:firstLineChars="200"/>
        <w:rPr>
          <w:rFonts w:ascii="仿宋_GB2312" w:hAnsi="宋体" w:eastAsia="仿宋_GB2312"/>
          <w:sz w:val="28"/>
          <w:szCs w:val="28"/>
        </w:rPr>
      </w:pPr>
      <w:r>
        <w:rPr>
          <w:rFonts w:hint="eastAsia" w:ascii="仿宋_GB2312" w:hAnsi="宋体" w:eastAsia="仿宋_GB2312"/>
          <w:sz w:val="28"/>
          <w:szCs w:val="28"/>
        </w:rPr>
        <w:t>GB/T 15683-2008大米 直链淀粉含量的测定</w:t>
      </w:r>
    </w:p>
    <w:p>
      <w:pPr>
        <w:ind w:firstLine="560" w:firstLineChars="200"/>
        <w:rPr>
          <w:rFonts w:ascii="仿宋_GB2312" w:hAnsi="宋体" w:eastAsia="仿宋_GB2312"/>
          <w:sz w:val="28"/>
          <w:szCs w:val="28"/>
        </w:rPr>
      </w:pPr>
      <w:r>
        <w:rPr>
          <w:rFonts w:hint="eastAsia" w:ascii="仿宋_GB2312" w:hAnsi="宋体" w:eastAsia="仿宋_GB2312"/>
          <w:sz w:val="28"/>
          <w:szCs w:val="28"/>
        </w:rPr>
        <w:t>NY/T 2639-2014稻米直链淀粉的测定 分光光度法</w:t>
      </w:r>
    </w:p>
    <w:p>
      <w:pPr>
        <w:ind w:firstLine="560" w:firstLineChars="200"/>
        <w:rPr>
          <w:rFonts w:ascii="仿宋_GB2312" w:hAnsi="宋体" w:eastAsia="仿宋_GB2312"/>
          <w:sz w:val="28"/>
          <w:szCs w:val="28"/>
          <w:lang w:val="zh-CN"/>
        </w:rPr>
      </w:pPr>
      <w:r>
        <w:rPr>
          <w:rFonts w:hint="eastAsia" w:ascii="仿宋_GB2312" w:hAnsi="宋体" w:eastAsia="仿宋_GB2312"/>
          <w:sz w:val="28"/>
          <w:szCs w:val="28"/>
          <w:lang w:val="zh-CN"/>
        </w:rPr>
        <w:t>DB32/T 2265-2012鲜食玉米中直链淀粉和支链淀粉含量的测定 双波长分光光度法</w:t>
      </w:r>
    </w:p>
    <w:p>
      <w:pPr>
        <w:pStyle w:val="4"/>
        <w:spacing w:beforeAutospacing="0" w:afterAutospacing="0"/>
        <w:rPr>
          <w:rFonts w:hint="default" w:ascii="仿宋_GB2312" w:hAnsi="仿宋_GB2312" w:eastAsia="仿宋_GB2312" w:cs="仿宋_GB2312"/>
          <w:b w:val="0"/>
          <w:sz w:val="28"/>
          <w:szCs w:val="28"/>
        </w:rPr>
      </w:pPr>
      <w:r>
        <w:rPr>
          <w:rFonts w:ascii="仿宋_GB2312" w:hAnsi="仿宋_GB2312" w:eastAsia="仿宋_GB2312" w:cs="仿宋_GB2312"/>
          <w:sz w:val="28"/>
          <w:szCs w:val="28"/>
        </w:rPr>
        <w:t>（三）研讨确定标准主体内容</w:t>
      </w:r>
    </w:p>
    <w:p>
      <w:pPr>
        <w:ind w:firstLine="560" w:firstLineChars="200"/>
        <w:rPr>
          <w:rFonts w:ascii="仿宋_GB2312" w:hAnsi="宋体" w:eastAsia="仿宋_GB2312"/>
          <w:sz w:val="32"/>
          <w:szCs w:val="32"/>
          <w:lang w:val="zh-CN"/>
        </w:rPr>
      </w:pPr>
      <w:r>
        <w:rPr>
          <w:rFonts w:hint="eastAsia" w:ascii="仿宋_GB2312" w:hAnsi="宋体" w:eastAsia="仿宋_GB2312"/>
          <w:sz w:val="28"/>
          <w:szCs w:val="28"/>
        </w:rPr>
        <w:t>标准编制工作组在对收集的资料进行整理研究之后，标准编制工作组召开了标准编制会议，对标准的整体框架结构进行了研究，并对标准的关键性内容进行了初步探讨。经过研究，标准的主体内容确定为术语和定义、原理、试剂和材料、仪器和设备、分析步骤、计算及结果表示、精密度。</w:t>
      </w:r>
    </w:p>
    <w:p>
      <w:pPr>
        <w:pStyle w:val="4"/>
        <w:spacing w:beforeAutospacing="0" w:afterAutospacing="0"/>
        <w:rPr>
          <w:rFonts w:hint="default" w:ascii="仿宋_GB2312" w:hAnsi="仿宋_GB2312" w:eastAsia="仿宋_GB2312" w:cs="仿宋_GB2312"/>
          <w:b w:val="0"/>
          <w:sz w:val="28"/>
          <w:szCs w:val="28"/>
        </w:rPr>
      </w:pPr>
      <w:r>
        <w:rPr>
          <w:rFonts w:ascii="仿宋_GB2312" w:hAnsi="仿宋_GB2312" w:eastAsia="仿宋_GB2312" w:cs="仿宋_GB2312"/>
          <w:sz w:val="28"/>
          <w:szCs w:val="28"/>
        </w:rPr>
        <w:t>（四）调研、形成文本草案、征求意见稿</w:t>
      </w:r>
    </w:p>
    <w:p>
      <w:pPr>
        <w:ind w:firstLine="560" w:firstLineChars="200"/>
        <w:rPr>
          <w:rFonts w:ascii="仿宋_GB2312" w:hAnsi="宋体" w:eastAsia="仿宋_GB2312"/>
          <w:sz w:val="28"/>
          <w:szCs w:val="28"/>
        </w:rPr>
      </w:pPr>
      <w:r>
        <w:rPr>
          <w:rFonts w:hint="eastAsia" w:ascii="仿宋_GB2312" w:hAnsi="宋体" w:eastAsia="仿宋_GB2312"/>
          <w:sz w:val="28"/>
          <w:szCs w:val="28"/>
        </w:rPr>
        <w:t>2020年6月-2021年4月，标准起草工作小组进行了广泛调研工作，查阅了大量的国内外文献资料，对</w:t>
      </w:r>
      <w:r>
        <w:rPr>
          <w:rFonts w:hint="eastAsia" w:ascii="仿宋_GB2312" w:hAnsi="宋体" w:eastAsia="仿宋_GB2312"/>
          <w:sz w:val="28"/>
          <w:szCs w:val="28"/>
          <w:lang w:val="zh-CN"/>
        </w:rPr>
        <w:t>双波长比色法</w:t>
      </w:r>
      <w:r>
        <w:rPr>
          <w:rFonts w:hint="eastAsia" w:ascii="仿宋_GB2312" w:hAnsi="宋体" w:eastAsia="仿宋_GB2312"/>
          <w:sz w:val="28"/>
          <w:szCs w:val="28"/>
        </w:rPr>
        <w:t>测定</w:t>
      </w:r>
      <w:r>
        <w:rPr>
          <w:rFonts w:hint="eastAsia" w:ascii="仿宋_GB2312" w:hAnsi="宋体" w:eastAsia="仿宋_GB2312"/>
          <w:sz w:val="28"/>
          <w:szCs w:val="28"/>
          <w:lang w:val="zh-CN"/>
        </w:rPr>
        <w:t>支链直链淀粉含量的方法</w:t>
      </w:r>
      <w:r>
        <w:rPr>
          <w:rFonts w:hint="eastAsia" w:ascii="仿宋_GB2312" w:hAnsi="宋体" w:eastAsia="仿宋_GB2312"/>
          <w:sz w:val="28"/>
          <w:szCs w:val="28"/>
        </w:rPr>
        <w:t>进行系统总结，并以红薯、木薯、淮山、土豆、芋头等为试材，进行大量实验。经编制组反复讨论，形成了标准的基本构架，对主要内容进行了讨论并对项目的工作进行了部署和安排。</w:t>
      </w:r>
    </w:p>
    <w:p>
      <w:pPr>
        <w:ind w:firstLine="560" w:firstLineChars="200"/>
        <w:rPr>
          <w:rFonts w:ascii="仿宋_GB2312" w:hAnsi="宋体" w:eastAsia="仿宋_GB2312"/>
          <w:sz w:val="28"/>
          <w:szCs w:val="28"/>
        </w:rPr>
      </w:pPr>
      <w:r>
        <w:rPr>
          <w:rFonts w:hint="eastAsia" w:ascii="仿宋_GB2312" w:hAnsi="宋体" w:eastAsia="仿宋_GB2312"/>
          <w:sz w:val="28"/>
          <w:szCs w:val="28"/>
        </w:rPr>
        <w:t>2021年5月，根据广西标准化协会</w:t>
      </w:r>
      <w:r>
        <w:rPr>
          <w:rFonts w:hint="eastAsia" w:ascii="仿宋_GB2312" w:hAnsi="宋体" w:eastAsia="仿宋_GB2312"/>
          <w:sz w:val="28"/>
          <w:szCs w:val="28"/>
          <w:lang w:val="zh-CN"/>
        </w:rPr>
        <w:t>《关于下达2021年第十三批团体标准制修订项目计划的通知》</w:t>
      </w:r>
      <w:r>
        <w:rPr>
          <w:rFonts w:hint="eastAsia" w:ascii="仿宋_GB2312" w:hAnsi="宋体" w:eastAsia="仿宋_GB2312"/>
          <w:sz w:val="28"/>
          <w:szCs w:val="28"/>
        </w:rPr>
        <w:t>，《</w:t>
      </w:r>
      <w:r>
        <w:rPr>
          <w:rFonts w:hint="eastAsia" w:ascii="仿宋_GB2312" w:hAnsi="宋体" w:eastAsia="仿宋_GB2312"/>
          <w:sz w:val="28"/>
          <w:szCs w:val="28"/>
          <w:lang w:val="zh-CN"/>
        </w:rPr>
        <w:t>薯类支链直链淀粉含量的测定  双波长比色法</w:t>
      </w:r>
      <w:r>
        <w:rPr>
          <w:rFonts w:hint="eastAsia" w:ascii="仿宋_GB2312" w:hAnsi="宋体" w:eastAsia="仿宋_GB2312"/>
          <w:sz w:val="28"/>
          <w:szCs w:val="28"/>
        </w:rPr>
        <w:t>》获立项批准。同月，在前期工作的基础之上，通过理清逻辑脉络，整合已有参考资料中有关双波长比色法测定薯类支链直链淀粉含量的方法，并结合前期预实验的实验结果，按照简化、</w:t>
      </w:r>
      <w:r>
        <w:rPr>
          <w:rFonts w:hint="eastAsia" w:ascii="仿宋_GB2312" w:eastAsia="仿宋_GB2312"/>
          <w:sz w:val="28"/>
          <w:szCs w:val="28"/>
        </w:rPr>
        <w:t>统一等原则编制完成团体标准</w:t>
      </w:r>
      <w:r>
        <w:rPr>
          <w:rFonts w:hint="eastAsia" w:ascii="仿宋_GB2312" w:hAnsi="宋体" w:eastAsia="仿宋_GB2312"/>
          <w:sz w:val="28"/>
          <w:szCs w:val="28"/>
        </w:rPr>
        <w:t>《薯类支链直链淀粉含量的测定  双波长比色法》（草案）。</w:t>
      </w:r>
    </w:p>
    <w:p>
      <w:pPr>
        <w:ind w:firstLine="560" w:firstLineChars="200"/>
        <w:rPr>
          <w:rFonts w:ascii="仿宋_GB2312" w:hAnsi="宋体" w:eastAsia="仿宋_GB2312"/>
          <w:sz w:val="28"/>
          <w:szCs w:val="28"/>
        </w:rPr>
      </w:pPr>
      <w:r>
        <w:rPr>
          <w:rFonts w:hint="eastAsia" w:ascii="仿宋_GB2312" w:hAnsi="宋体" w:eastAsia="仿宋_GB2312"/>
          <w:sz w:val="28"/>
          <w:szCs w:val="28"/>
        </w:rPr>
        <w:t>2021年6月，</w:t>
      </w:r>
      <w:r>
        <w:rPr>
          <w:rFonts w:hint="eastAsia" w:ascii="仿宋_GB2312" w:eastAsia="仿宋_GB2312"/>
          <w:sz w:val="28"/>
          <w:szCs w:val="28"/>
        </w:rPr>
        <w:t>标准编制工作组在南宁市组织全区相关领域专家对团体标准《</w:t>
      </w:r>
      <w:r>
        <w:rPr>
          <w:rFonts w:hint="eastAsia" w:ascii="仿宋_GB2312" w:hAnsi="宋体" w:eastAsia="仿宋_GB2312"/>
          <w:sz w:val="28"/>
          <w:szCs w:val="28"/>
        </w:rPr>
        <w:t>薯类支链直链淀粉含量的测定  双波长比色法</w:t>
      </w:r>
      <w:r>
        <w:rPr>
          <w:rFonts w:hint="eastAsia" w:ascii="仿宋_GB2312" w:eastAsia="仿宋_GB2312"/>
          <w:sz w:val="28"/>
          <w:szCs w:val="28"/>
        </w:rPr>
        <w:t>》（草案）进行征求意见。经过多次讨论、研究，最终形成团体标准《</w:t>
      </w:r>
      <w:r>
        <w:rPr>
          <w:rFonts w:hint="eastAsia" w:ascii="仿宋_GB2312" w:hAnsi="宋体" w:eastAsia="仿宋_GB2312"/>
          <w:sz w:val="28"/>
          <w:szCs w:val="28"/>
        </w:rPr>
        <w:t>薯类支链直链淀粉含量的测定  双波长比色法</w:t>
      </w:r>
      <w:r>
        <w:rPr>
          <w:rFonts w:hint="eastAsia" w:ascii="仿宋_GB2312" w:eastAsia="仿宋_GB2312"/>
          <w:sz w:val="28"/>
          <w:szCs w:val="28"/>
        </w:rPr>
        <w:t>》（征求意见稿）和编制说明。</w:t>
      </w:r>
    </w:p>
    <w:p>
      <w:pPr>
        <w:pStyle w:val="14"/>
        <w:numPr>
          <w:ilvl w:val="0"/>
          <w:numId w:val="5"/>
        </w:numPr>
        <w:adjustRightInd w:val="0"/>
        <w:snapToGrid w:val="0"/>
        <w:spacing w:beforeLines="50" w:line="360" w:lineRule="auto"/>
        <w:ind w:left="0" w:firstLine="0" w:firstLineChars="0"/>
        <w:outlineLvl w:val="1"/>
        <w:rPr>
          <w:rFonts w:ascii="黑体" w:hAnsi="黑体" w:eastAsia="黑体" w:cs="仿宋_GB2312"/>
          <w:sz w:val="32"/>
          <w:szCs w:val="32"/>
        </w:rPr>
      </w:pPr>
      <w:bookmarkStart w:id="0" w:name="_Toc526940083"/>
      <w:r>
        <w:rPr>
          <w:rFonts w:hint="eastAsia" w:ascii="黑体" w:hAnsi="黑体" w:eastAsia="黑体" w:cs="黑体"/>
          <w:bCs/>
          <w:color w:val="000000" w:themeColor="text1"/>
          <w:sz w:val="32"/>
          <w:szCs w:val="32"/>
          <w:lang w:val="zh-CN"/>
        </w:rPr>
        <w:t>标准制定原则</w:t>
      </w:r>
      <w:bookmarkEnd w:id="0"/>
    </w:p>
    <w:p>
      <w:pPr>
        <w:pStyle w:val="4"/>
        <w:spacing w:beforeAutospacing="0" w:afterAutospacing="0"/>
        <w:rPr>
          <w:rFonts w:hint="default" w:ascii="仿宋_GB2312" w:eastAsia="仿宋_GB2312"/>
          <w:b w:val="0"/>
          <w:sz w:val="28"/>
          <w:szCs w:val="28"/>
        </w:rPr>
      </w:pPr>
      <w:r>
        <w:rPr>
          <w:rFonts w:ascii="仿宋_GB2312" w:eastAsia="仿宋_GB2312"/>
          <w:sz w:val="28"/>
          <w:szCs w:val="28"/>
        </w:rPr>
        <w:t>1、实用性原则</w:t>
      </w:r>
    </w:p>
    <w:p>
      <w:pPr>
        <w:ind w:firstLine="560" w:firstLineChars="200"/>
        <w:rPr>
          <w:rFonts w:ascii="仿宋_GB2312" w:hAnsi="宋体" w:eastAsia="仿宋_GB2312"/>
          <w:sz w:val="28"/>
          <w:szCs w:val="28"/>
        </w:rPr>
      </w:pPr>
      <w:r>
        <w:rPr>
          <w:rFonts w:hint="eastAsia" w:ascii="仿宋_GB2312" w:hAnsi="宋体" w:eastAsia="仿宋_GB2312"/>
          <w:sz w:val="28"/>
          <w:szCs w:val="28"/>
        </w:rPr>
        <w:t>本文件是在充分收集相关资料和文献，根据现有农产品中</w:t>
      </w:r>
      <w:r>
        <w:rPr>
          <w:rFonts w:hint="eastAsia" w:ascii="仿宋_GB2312" w:hAnsi="宋体" w:eastAsia="仿宋_GB2312"/>
          <w:sz w:val="28"/>
          <w:szCs w:val="28"/>
          <w:lang w:val="zh-CN"/>
        </w:rPr>
        <w:t>双波长比色法</w:t>
      </w:r>
      <w:r>
        <w:rPr>
          <w:rFonts w:hint="eastAsia" w:ascii="仿宋_GB2312" w:hAnsi="宋体" w:eastAsia="仿宋_GB2312"/>
          <w:sz w:val="28"/>
          <w:szCs w:val="28"/>
        </w:rPr>
        <w:t>测定</w:t>
      </w:r>
      <w:r>
        <w:rPr>
          <w:rFonts w:hint="eastAsia" w:ascii="仿宋_GB2312" w:hAnsi="宋体" w:eastAsia="仿宋_GB2312"/>
          <w:sz w:val="28"/>
          <w:szCs w:val="28"/>
          <w:lang w:val="zh-CN"/>
        </w:rPr>
        <w:t>支链直链淀粉含量</w:t>
      </w:r>
      <w:r>
        <w:rPr>
          <w:rFonts w:hint="eastAsia" w:ascii="仿宋_GB2312" w:hAnsi="宋体" w:eastAsia="仿宋_GB2312"/>
          <w:sz w:val="28"/>
          <w:szCs w:val="28"/>
        </w:rPr>
        <w:t>的文献资料，优化薯类中</w:t>
      </w:r>
      <w:r>
        <w:rPr>
          <w:rFonts w:hint="eastAsia" w:ascii="仿宋_GB2312" w:hAnsi="宋体" w:eastAsia="仿宋_GB2312"/>
          <w:sz w:val="28"/>
          <w:szCs w:val="28"/>
          <w:lang w:val="zh-CN"/>
        </w:rPr>
        <w:t>支链直链淀粉含量检测方法中碘试剂、乙酸用量</w:t>
      </w:r>
      <w:r>
        <w:rPr>
          <w:rFonts w:hint="eastAsia" w:ascii="仿宋_GB2312" w:hAnsi="宋体" w:eastAsia="仿宋_GB2312"/>
          <w:sz w:val="28"/>
          <w:szCs w:val="28"/>
        </w:rPr>
        <w:t>，在现有国家、行业标准相关</w:t>
      </w:r>
      <w:r>
        <w:rPr>
          <w:rFonts w:hint="eastAsia" w:ascii="仿宋_GB2312" w:hAnsi="宋体" w:eastAsia="仿宋_GB2312"/>
          <w:sz w:val="28"/>
          <w:szCs w:val="28"/>
          <w:lang w:val="zh-CN"/>
        </w:rPr>
        <w:t>双波长比色法</w:t>
      </w:r>
      <w:r>
        <w:rPr>
          <w:rFonts w:hint="eastAsia" w:ascii="仿宋_GB2312" w:hAnsi="宋体" w:eastAsia="仿宋_GB2312"/>
          <w:sz w:val="28"/>
          <w:szCs w:val="28"/>
        </w:rPr>
        <w:t>测定</w:t>
      </w:r>
      <w:r>
        <w:rPr>
          <w:rFonts w:hint="eastAsia" w:ascii="仿宋_GB2312" w:hAnsi="宋体" w:eastAsia="仿宋_GB2312"/>
          <w:sz w:val="28"/>
          <w:szCs w:val="28"/>
          <w:lang w:val="zh-CN"/>
        </w:rPr>
        <w:t>支链直链淀粉含量</w:t>
      </w:r>
      <w:r>
        <w:rPr>
          <w:rFonts w:hint="eastAsia" w:ascii="仿宋_GB2312" w:hAnsi="宋体" w:eastAsia="仿宋_GB2312"/>
          <w:sz w:val="28"/>
          <w:szCs w:val="28"/>
        </w:rPr>
        <w:t>的基础上，结合多年经验而总结起草的。符合当前</w:t>
      </w:r>
      <w:r>
        <w:rPr>
          <w:rFonts w:hint="eastAsia" w:ascii="仿宋_GB2312" w:hAnsi="宋体" w:eastAsia="仿宋_GB2312"/>
          <w:sz w:val="28"/>
          <w:szCs w:val="28"/>
          <w:lang w:val="zh-CN"/>
        </w:rPr>
        <w:t>薯类支链直链淀粉含量</w:t>
      </w:r>
      <w:r>
        <w:rPr>
          <w:rFonts w:hint="eastAsia" w:ascii="仿宋_GB2312" w:hAnsi="宋体" w:eastAsia="仿宋_GB2312"/>
          <w:sz w:val="28"/>
          <w:szCs w:val="28"/>
        </w:rPr>
        <w:t>检测的要求，有利于行业的长远发展，具有较强的实用性和可操作性。</w:t>
      </w:r>
    </w:p>
    <w:p>
      <w:pPr>
        <w:pStyle w:val="4"/>
        <w:spacing w:beforeAutospacing="0" w:afterAutospacing="0"/>
        <w:rPr>
          <w:rFonts w:hint="default" w:ascii="仿宋_GB2312" w:eastAsia="仿宋_GB2312"/>
          <w:b w:val="0"/>
          <w:sz w:val="28"/>
          <w:szCs w:val="28"/>
        </w:rPr>
      </w:pPr>
      <w:r>
        <w:rPr>
          <w:rFonts w:ascii="仿宋_GB2312" w:eastAsia="仿宋_GB2312"/>
          <w:sz w:val="28"/>
          <w:szCs w:val="28"/>
        </w:rPr>
        <w:t>2、协调性原则</w:t>
      </w:r>
    </w:p>
    <w:p>
      <w:pPr>
        <w:ind w:firstLine="560" w:firstLineChars="200"/>
        <w:rPr>
          <w:rFonts w:ascii="仿宋_GB2312" w:hAnsi="宋体" w:eastAsia="仿宋_GB2312"/>
          <w:sz w:val="28"/>
          <w:szCs w:val="28"/>
        </w:rPr>
      </w:pPr>
      <w:r>
        <w:rPr>
          <w:rFonts w:hint="eastAsia" w:ascii="仿宋_GB2312" w:hAnsi="宋体" w:eastAsia="仿宋_GB2312"/>
          <w:sz w:val="28"/>
          <w:szCs w:val="28"/>
        </w:rPr>
        <w:t>本文件编写过程中注意了</w:t>
      </w:r>
      <w:r>
        <w:rPr>
          <w:rFonts w:hint="eastAsia" w:ascii="仿宋_GB2312" w:hAnsi="宋体" w:eastAsia="仿宋_GB2312"/>
          <w:sz w:val="28"/>
          <w:szCs w:val="28"/>
          <w:lang w:val="zh-CN"/>
        </w:rPr>
        <w:t>双波长比色法</w:t>
      </w:r>
      <w:r>
        <w:rPr>
          <w:rFonts w:hint="eastAsia" w:ascii="仿宋_GB2312" w:hAnsi="宋体" w:eastAsia="仿宋_GB2312"/>
          <w:sz w:val="28"/>
          <w:szCs w:val="28"/>
        </w:rPr>
        <w:t>测定薯类</w:t>
      </w:r>
      <w:r>
        <w:rPr>
          <w:rFonts w:hint="eastAsia" w:ascii="仿宋_GB2312" w:hAnsi="宋体" w:eastAsia="仿宋_GB2312"/>
          <w:sz w:val="28"/>
          <w:szCs w:val="28"/>
          <w:lang w:val="zh-CN"/>
        </w:rPr>
        <w:t>支链直链淀粉含量</w:t>
      </w:r>
      <w:r>
        <w:rPr>
          <w:rFonts w:hint="eastAsia" w:ascii="仿宋_GB2312" w:hAnsi="宋体" w:eastAsia="仿宋_GB2312"/>
          <w:sz w:val="28"/>
          <w:szCs w:val="28"/>
        </w:rPr>
        <w:t>的技术要求与相关法律法规的协调问题，在内容上与现行法律法规、标准协调一致。</w:t>
      </w:r>
    </w:p>
    <w:p>
      <w:pPr>
        <w:pStyle w:val="4"/>
        <w:spacing w:beforeAutospacing="0" w:afterAutospacing="0"/>
        <w:rPr>
          <w:rFonts w:hint="default" w:ascii="仿宋_GB2312" w:eastAsia="仿宋_GB2312"/>
          <w:b w:val="0"/>
          <w:sz w:val="28"/>
          <w:szCs w:val="28"/>
        </w:rPr>
      </w:pPr>
      <w:r>
        <w:rPr>
          <w:rFonts w:ascii="仿宋_GB2312" w:eastAsia="仿宋_GB2312"/>
          <w:sz w:val="28"/>
          <w:szCs w:val="28"/>
        </w:rPr>
        <w:t>3、规范性原则</w:t>
      </w:r>
    </w:p>
    <w:p>
      <w:pPr>
        <w:ind w:firstLine="560" w:firstLineChars="200"/>
        <w:rPr>
          <w:rFonts w:ascii="仿宋_GB2312" w:hAnsi="宋体" w:eastAsia="仿宋_GB2312"/>
          <w:sz w:val="28"/>
          <w:szCs w:val="28"/>
        </w:rPr>
      </w:pPr>
      <w:r>
        <w:rPr>
          <w:rFonts w:hint="eastAsia" w:ascii="仿宋_GB2312" w:hAnsi="宋体" w:eastAsia="仿宋_GB2312"/>
          <w:sz w:val="28"/>
          <w:szCs w:val="28"/>
        </w:rPr>
        <w:t>本文件严格按照GB/T 1.1—2020《标准化工作导则 第1部分：标准的结构和编写》的要求和规定编写本标准的内容，保证标准的编写质量。</w:t>
      </w:r>
    </w:p>
    <w:p>
      <w:pPr>
        <w:pStyle w:val="4"/>
        <w:spacing w:beforeAutospacing="0" w:afterAutospacing="0"/>
        <w:rPr>
          <w:rFonts w:hint="default" w:ascii="仿宋_GB2312" w:eastAsia="仿宋_GB2312"/>
          <w:b w:val="0"/>
          <w:sz w:val="28"/>
          <w:szCs w:val="28"/>
        </w:rPr>
      </w:pPr>
      <w:r>
        <w:rPr>
          <w:rFonts w:ascii="仿宋_GB2312" w:eastAsia="仿宋_GB2312"/>
          <w:sz w:val="28"/>
          <w:szCs w:val="28"/>
        </w:rPr>
        <w:t>4、前瞻性原则</w:t>
      </w:r>
    </w:p>
    <w:p>
      <w:pPr>
        <w:ind w:firstLine="560" w:firstLineChars="200"/>
        <w:rPr>
          <w:rFonts w:ascii="仿宋_GB2312" w:hAnsi="宋体" w:eastAsia="仿宋_GB2312"/>
          <w:sz w:val="28"/>
          <w:szCs w:val="28"/>
        </w:rPr>
      </w:pPr>
      <w:r>
        <w:rPr>
          <w:rFonts w:hint="eastAsia" w:ascii="仿宋_GB2312" w:hAnsi="宋体" w:eastAsia="仿宋_GB2312"/>
          <w:sz w:val="28"/>
          <w:szCs w:val="28"/>
        </w:rPr>
        <w:t>本文件以的当前农产品中</w:t>
      </w:r>
      <w:r>
        <w:rPr>
          <w:rFonts w:hint="eastAsia" w:ascii="仿宋_GB2312" w:hAnsi="宋体" w:eastAsia="仿宋_GB2312"/>
          <w:sz w:val="28"/>
          <w:szCs w:val="28"/>
          <w:lang w:val="zh-CN"/>
        </w:rPr>
        <w:t>支链直链淀粉含量</w:t>
      </w:r>
      <w:r>
        <w:rPr>
          <w:rFonts w:hint="eastAsia" w:ascii="仿宋_GB2312" w:hAnsi="宋体" w:eastAsia="仿宋_GB2312"/>
          <w:sz w:val="28"/>
          <w:szCs w:val="28"/>
        </w:rPr>
        <w:t>检测方法——</w:t>
      </w:r>
      <w:r>
        <w:rPr>
          <w:rFonts w:hint="eastAsia" w:ascii="仿宋_GB2312" w:hAnsi="宋体" w:eastAsia="仿宋_GB2312"/>
          <w:sz w:val="28"/>
          <w:szCs w:val="28"/>
          <w:lang w:val="zh-CN"/>
        </w:rPr>
        <w:t>双波长比色法</w:t>
      </w:r>
      <w:r>
        <w:rPr>
          <w:rFonts w:hint="eastAsia" w:ascii="仿宋_GB2312" w:hAnsi="宋体" w:eastAsia="仿宋_GB2312"/>
          <w:sz w:val="28"/>
          <w:szCs w:val="28"/>
        </w:rPr>
        <w:t>为基础，以红薯、木薯、淮山、土豆、芋头等薯类作物为原料，通过</w:t>
      </w:r>
      <w:r>
        <w:rPr>
          <w:rFonts w:hint="eastAsia" w:ascii="仿宋_GB2312" w:hAnsi="宋体" w:eastAsia="仿宋_GB2312"/>
          <w:sz w:val="28"/>
          <w:szCs w:val="28"/>
          <w:lang w:val="zh-CN"/>
        </w:rPr>
        <w:t>双波长比色法</w:t>
      </w:r>
      <w:r>
        <w:rPr>
          <w:rFonts w:hint="eastAsia" w:ascii="仿宋_GB2312" w:hAnsi="宋体" w:eastAsia="仿宋_GB2312"/>
          <w:sz w:val="28"/>
          <w:szCs w:val="28"/>
        </w:rPr>
        <w:t>同时测定薯类作物中2种形态淀粉含量，为我国薯类作物中淀粉形态检测、薯类作物产业健康发展提供新途径，在标准中体现了个别特色性、前瞻性和先进性条款，作为对薯类作物中淀粉形态检测技术的指导。</w:t>
      </w:r>
    </w:p>
    <w:p>
      <w:pPr>
        <w:pStyle w:val="14"/>
        <w:numPr>
          <w:ilvl w:val="0"/>
          <w:numId w:val="5"/>
        </w:numPr>
        <w:adjustRightInd w:val="0"/>
        <w:snapToGrid w:val="0"/>
        <w:spacing w:beforeLines="50" w:line="360" w:lineRule="auto"/>
        <w:ind w:left="0" w:firstLine="0" w:firstLineChars="0"/>
        <w:outlineLvl w:val="1"/>
        <w:rPr>
          <w:rFonts w:ascii="黑体" w:hAnsi="黑体" w:eastAsia="黑体" w:cs="黑体"/>
          <w:bCs/>
          <w:sz w:val="32"/>
          <w:szCs w:val="32"/>
        </w:rPr>
      </w:pPr>
      <w:r>
        <w:rPr>
          <w:rFonts w:hint="eastAsia" w:ascii="黑体" w:hAnsi="黑体" w:eastAsia="黑体" w:cs="黑体"/>
          <w:bCs/>
          <w:color w:val="000000" w:themeColor="text1"/>
          <w:sz w:val="32"/>
          <w:szCs w:val="32"/>
          <w:lang w:val="zh-CN"/>
        </w:rPr>
        <w:t>标准主要章节内容及确定依据</w:t>
      </w:r>
    </w:p>
    <w:p>
      <w:pPr>
        <w:ind w:firstLine="560" w:firstLineChars="200"/>
        <w:rPr>
          <w:rFonts w:ascii="仿宋_GB2312" w:hAnsi="宋体" w:eastAsia="仿宋_GB2312"/>
          <w:sz w:val="28"/>
          <w:szCs w:val="28"/>
        </w:rPr>
      </w:pPr>
      <w:r>
        <w:rPr>
          <w:rFonts w:hint="eastAsia" w:ascii="仿宋_GB2312" w:hAnsi="宋体" w:eastAsia="仿宋_GB2312"/>
          <w:sz w:val="28"/>
          <w:szCs w:val="28"/>
          <w:lang w:val="zh-CN"/>
        </w:rPr>
        <w:t>广西壮族自治区农业科学院农产品质量安全与检测技术研究所</w:t>
      </w:r>
      <w:r>
        <w:rPr>
          <w:rFonts w:hint="eastAsia" w:ascii="仿宋_GB2312" w:hAnsi="宋体" w:eastAsia="仿宋_GB2312"/>
          <w:sz w:val="28"/>
          <w:szCs w:val="28"/>
        </w:rPr>
        <w:t>就不同薯类作物中支链和直链淀粉进行检测，期间进行了上百个样品的检测，数据量十分丰富，在不断的试验过程中试验方法得到不断完善，最终形成准确度高、可操作性强的薯类支链和直链淀粉检测方法。</w:t>
      </w:r>
    </w:p>
    <w:p>
      <w:pPr>
        <w:pStyle w:val="14"/>
        <w:numPr>
          <w:ilvl w:val="0"/>
          <w:numId w:val="6"/>
        </w:numPr>
        <w:autoSpaceDE w:val="0"/>
        <w:autoSpaceDN w:val="0"/>
        <w:adjustRightInd w:val="0"/>
        <w:ind w:left="0" w:firstLine="0" w:firstLineChars="0"/>
        <w:jc w:val="left"/>
        <w:outlineLvl w:val="2"/>
        <w:rPr>
          <w:rFonts w:ascii="仿宋_GB2312" w:hAnsi="宋体" w:eastAsia="仿宋_GB2312"/>
          <w:b/>
          <w:sz w:val="28"/>
          <w:szCs w:val="28"/>
        </w:rPr>
      </w:pPr>
      <w:r>
        <w:rPr>
          <w:rFonts w:hint="eastAsia" w:ascii="仿宋_GB2312" w:hAnsi="宋体" w:eastAsia="仿宋_GB2312"/>
          <w:b/>
          <w:sz w:val="28"/>
          <w:szCs w:val="28"/>
        </w:rPr>
        <w:t>原理</w:t>
      </w:r>
    </w:p>
    <w:p>
      <w:pPr>
        <w:ind w:firstLine="560" w:firstLineChars="200"/>
        <w:rPr>
          <w:rFonts w:ascii="仿宋_GB2312" w:eastAsia="仿宋_GB2312"/>
          <w:color w:val="000000" w:themeColor="text1"/>
          <w:sz w:val="28"/>
          <w:szCs w:val="28"/>
        </w:rPr>
      </w:pPr>
      <w:r>
        <w:rPr>
          <w:rFonts w:hint="eastAsia" w:ascii="仿宋_GB2312" w:hAnsi="宋体" w:eastAsia="仿宋_GB2312"/>
          <w:sz w:val="28"/>
          <w:szCs w:val="28"/>
        </w:rPr>
        <w:t>根据双波长比色原理</w:t>
      </w:r>
      <w:r>
        <w:rPr>
          <w:rFonts w:hint="eastAsia" w:ascii="仿宋_GB2312" w:eastAsia="仿宋_GB2312"/>
          <w:sz w:val="28"/>
          <w:szCs w:val="28"/>
        </w:rPr>
        <w:t>，若试样溶液在两个波长处均有吸收，则两个波长的吸光差值，与溶液中待测 物质的浓度成正比。从待测样品液中的支链淀粉，直链淀</w:t>
      </w:r>
      <w:r>
        <w:rPr>
          <w:rFonts w:hint="eastAsia" w:ascii="仿宋_GB2312" w:eastAsia="仿宋_GB2312"/>
          <w:color w:val="000000" w:themeColor="text1"/>
          <w:sz w:val="28"/>
          <w:szCs w:val="28"/>
        </w:rPr>
        <w:t>粉分别与碘生成络合物的吸收图谱中，可以确定测定波长和参比波长。淀粉与碘能形成螺旋状结构的碘-淀粉复合物，它具有特效的颜色反应，其中支链淀粉与碘依其分枝程度生成棕红色复合物，直链淀粉与碘生成深蓝色复合物。因此两种淀粉与碘作用时会产生不同的光学特性，从而表现出特定的吸收谱及吸收峰，通过标准物质建立标准曲线，而确定样品支链淀粉、直链淀粉的含量。</w:t>
      </w:r>
    </w:p>
    <w:p>
      <w:pPr>
        <w:pStyle w:val="14"/>
        <w:numPr>
          <w:ilvl w:val="0"/>
          <w:numId w:val="6"/>
        </w:numPr>
        <w:autoSpaceDE w:val="0"/>
        <w:autoSpaceDN w:val="0"/>
        <w:adjustRightInd w:val="0"/>
        <w:ind w:left="0" w:firstLine="0" w:firstLineChars="0"/>
        <w:jc w:val="left"/>
        <w:outlineLvl w:val="2"/>
        <w:rPr>
          <w:b/>
          <w:color w:val="444444"/>
          <w:sz w:val="24"/>
          <w:szCs w:val="24"/>
        </w:rPr>
      </w:pPr>
      <w:r>
        <w:rPr>
          <w:rFonts w:hint="eastAsia" w:ascii="仿宋_GB2312" w:hAnsi="宋体" w:eastAsia="仿宋_GB2312"/>
          <w:b/>
          <w:sz w:val="28"/>
          <w:szCs w:val="28"/>
        </w:rPr>
        <w:t>试剂类型和用量确定</w:t>
      </w:r>
    </w:p>
    <w:p>
      <w:pPr>
        <w:pStyle w:val="14"/>
        <w:numPr>
          <w:ilvl w:val="0"/>
          <w:numId w:val="7"/>
        </w:numPr>
        <w:autoSpaceDE w:val="0"/>
        <w:autoSpaceDN w:val="0"/>
        <w:adjustRightInd w:val="0"/>
        <w:ind w:left="0" w:firstLine="0" w:firstLineChars="0"/>
        <w:jc w:val="left"/>
        <w:outlineLvl w:val="3"/>
        <w:rPr>
          <w:color w:val="444444"/>
          <w:sz w:val="24"/>
        </w:rPr>
      </w:pPr>
      <w:r>
        <w:rPr>
          <w:rFonts w:ascii="仿宋_GB2312" w:hAnsi="宋体" w:eastAsia="仿宋_GB2312"/>
          <w:sz w:val="28"/>
          <w:szCs w:val="28"/>
        </w:rPr>
        <w:t>分散剂确定</w:t>
      </w:r>
    </w:p>
    <w:p>
      <w:pPr>
        <w:ind w:firstLine="560" w:firstLineChars="200"/>
        <w:rPr>
          <w:rFonts w:ascii="仿宋_GB2312" w:hAnsi="宋体" w:eastAsia="仿宋_GB2312"/>
          <w:color w:val="000000" w:themeColor="text1"/>
          <w:sz w:val="28"/>
          <w:szCs w:val="28"/>
        </w:rPr>
      </w:pPr>
      <w:r>
        <w:rPr>
          <w:rFonts w:ascii="仿宋_GB2312" w:hAnsi="宋体" w:eastAsia="仿宋_GB2312"/>
          <w:sz w:val="28"/>
          <w:szCs w:val="28"/>
        </w:rPr>
        <w:t>分别称取0.0500克支链、直链淀粉标准样品2份于100mL烧杯中，4份标准样品分别加入0.5mL无水乙醇湿润样品，一份直链、支链淀粉加入4.5mL 1mol/L KOH溶液，另一份直链、支链淀粉加入4.5mL 1mol/L NaOH溶液至于沸水浴中10</w:t>
      </w:r>
      <w:r>
        <w:rPr>
          <w:rFonts w:ascii="仿宋_GB2312" w:hAnsi="宋体" w:eastAsia="仿宋_GB2312"/>
          <w:color w:val="000000" w:themeColor="text1"/>
          <w:sz w:val="28"/>
          <w:szCs w:val="28"/>
        </w:rPr>
        <w:t>min，观察标准样品的分散性，发现直链淀粉在1mol.L-1NaOH中很难分散，溶液浑浊成块，但是在1mol</w:t>
      </w:r>
      <w:r>
        <w:rPr>
          <w:rFonts w:hint="eastAsia" w:ascii="仿宋_GB2312" w:hAnsi="宋体" w:eastAsia="仿宋_GB2312"/>
          <w:color w:val="000000" w:themeColor="text1"/>
          <w:sz w:val="28"/>
          <w:szCs w:val="28"/>
        </w:rPr>
        <w:t>/</w:t>
      </w:r>
      <w:r>
        <w:rPr>
          <w:rFonts w:ascii="仿宋_GB2312" w:hAnsi="宋体" w:eastAsia="仿宋_GB2312"/>
          <w:color w:val="000000" w:themeColor="text1"/>
          <w:sz w:val="28"/>
          <w:szCs w:val="28"/>
        </w:rPr>
        <w:t>LKOH溶液中，分散均匀，溶液澄清。</w:t>
      </w:r>
    </w:p>
    <w:p>
      <w:pPr>
        <w:pStyle w:val="14"/>
        <w:numPr>
          <w:ilvl w:val="0"/>
          <w:numId w:val="7"/>
        </w:numPr>
        <w:autoSpaceDE w:val="0"/>
        <w:autoSpaceDN w:val="0"/>
        <w:adjustRightInd w:val="0"/>
        <w:ind w:left="0" w:firstLine="0" w:firstLineChars="0"/>
        <w:jc w:val="left"/>
        <w:outlineLvl w:val="3"/>
        <w:rPr>
          <w:rFonts w:ascii="仿宋_GB2312" w:eastAsia="仿宋_GB2312"/>
          <w:color w:val="000000" w:themeColor="text1"/>
          <w:sz w:val="28"/>
          <w:szCs w:val="28"/>
        </w:rPr>
      </w:pPr>
      <w:r>
        <w:rPr>
          <w:rFonts w:hint="eastAsia" w:ascii="仿宋_GB2312" w:hAnsi="宋体" w:eastAsia="仿宋_GB2312"/>
          <w:sz w:val="28"/>
          <w:szCs w:val="28"/>
        </w:rPr>
        <w:t>碘试剂确定</w:t>
      </w:r>
    </w:p>
    <w:p>
      <w:pPr>
        <w:ind w:firstLine="560" w:firstLineChars="200"/>
        <w:rPr>
          <w:rFonts w:ascii="仿宋_GB2312" w:eastAsia="仿宋_GB2312"/>
          <w:color w:val="000000" w:themeColor="text1"/>
          <w:sz w:val="28"/>
          <w:szCs w:val="28"/>
        </w:rPr>
      </w:pPr>
      <w:r>
        <w:rPr>
          <w:rFonts w:hint="eastAsia" w:ascii="仿宋_GB2312" w:hAnsi="宋体" w:eastAsia="仿宋_GB2312"/>
          <w:sz w:val="28"/>
          <w:szCs w:val="28"/>
        </w:rPr>
        <w:t>通过对</w:t>
      </w:r>
      <w:r>
        <w:rPr>
          <w:rFonts w:hint="eastAsia" w:ascii="仿宋_GB2312" w:eastAsia="仿宋_GB2312"/>
          <w:color w:val="000000" w:themeColor="text1"/>
          <w:sz w:val="28"/>
          <w:szCs w:val="28"/>
        </w:rPr>
        <w:t>50mL</w:t>
      </w:r>
      <w:r>
        <w:rPr>
          <w:rFonts w:hint="eastAsia" w:ascii="仿宋_GB2312" w:hAnsi="宋体" w:eastAsia="仿宋_GB2312"/>
          <w:color w:val="000000" w:themeColor="text1"/>
          <w:sz w:val="28"/>
          <w:szCs w:val="28"/>
        </w:rPr>
        <w:t>的标准溶液标线加入不同浓度的碘试剂（</w:t>
      </w:r>
      <w:r>
        <w:rPr>
          <w:rFonts w:hint="eastAsia" w:ascii="仿宋_GB2312" w:eastAsia="仿宋_GB2312"/>
          <w:color w:val="000000" w:themeColor="text1"/>
          <w:sz w:val="28"/>
          <w:szCs w:val="28"/>
        </w:rPr>
        <w:t>0.5mL,1mL,1.5mL</w:t>
      </w:r>
      <w:r>
        <w:rPr>
          <w:rFonts w:hint="eastAsia" w:ascii="仿宋_GB2312" w:hAnsi="宋体" w:eastAsia="仿宋_GB2312"/>
          <w:color w:val="000000" w:themeColor="text1"/>
          <w:sz w:val="28"/>
          <w:szCs w:val="28"/>
        </w:rPr>
        <w:t>）注直链淀粉与碘生成的络合物较稳定，在</w:t>
      </w:r>
      <w:r>
        <w:rPr>
          <w:rFonts w:hint="eastAsia" w:ascii="仿宋_GB2312" w:eastAsia="仿宋_GB2312"/>
          <w:color w:val="000000" w:themeColor="text1"/>
          <w:sz w:val="28"/>
          <w:szCs w:val="28"/>
        </w:rPr>
        <w:t>50mL</w:t>
      </w:r>
      <w:r>
        <w:rPr>
          <w:rFonts w:hint="eastAsia" w:ascii="仿宋_GB2312" w:hAnsi="宋体" w:eastAsia="仿宋_GB2312"/>
          <w:color w:val="000000" w:themeColor="text1"/>
          <w:sz w:val="28"/>
          <w:szCs w:val="28"/>
        </w:rPr>
        <w:t>定容体积下，当碘试剂用量在</w:t>
      </w:r>
      <w:r>
        <w:rPr>
          <w:rFonts w:hint="eastAsia" w:ascii="仿宋_GB2312" w:eastAsia="仿宋_GB2312"/>
          <w:color w:val="000000" w:themeColor="text1"/>
          <w:sz w:val="28"/>
          <w:szCs w:val="28"/>
        </w:rPr>
        <w:t>0.5mL</w:t>
      </w:r>
      <w:r>
        <w:rPr>
          <w:rFonts w:hint="eastAsia" w:ascii="仿宋_GB2312" w:hAnsi="宋体" w:eastAsia="仿宋_GB2312"/>
          <w:color w:val="000000" w:themeColor="text1"/>
          <w:sz w:val="28"/>
          <w:szCs w:val="28"/>
        </w:rPr>
        <w:t>及大于</w:t>
      </w:r>
      <w:r>
        <w:rPr>
          <w:rFonts w:hint="eastAsia" w:ascii="仿宋_GB2312" w:eastAsia="仿宋_GB2312"/>
          <w:color w:val="000000" w:themeColor="text1"/>
          <w:sz w:val="28"/>
          <w:szCs w:val="28"/>
        </w:rPr>
        <w:t>0.5mL</w:t>
      </w:r>
      <w:r>
        <w:rPr>
          <w:rFonts w:hint="eastAsia" w:ascii="仿宋_GB2312" w:hAnsi="宋体" w:eastAsia="仿宋_GB2312"/>
          <w:color w:val="000000" w:themeColor="text1"/>
          <w:sz w:val="28"/>
          <w:szCs w:val="28"/>
        </w:rPr>
        <w:t>时，吸光度值已基本不发生变化，而</w:t>
      </w:r>
      <w:r>
        <w:rPr>
          <w:rFonts w:hint="eastAsia" w:ascii="仿宋_GB2312" w:eastAsia="仿宋_GB2312"/>
          <w:color w:val="000000" w:themeColor="text1"/>
          <w:sz w:val="28"/>
          <w:szCs w:val="28"/>
        </w:rPr>
        <w:t xml:space="preserve"> </w:t>
      </w:r>
      <w:r>
        <w:rPr>
          <w:rFonts w:hint="eastAsia" w:ascii="仿宋_GB2312" w:hAnsi="宋体" w:eastAsia="仿宋_GB2312"/>
          <w:color w:val="000000" w:themeColor="text1"/>
          <w:sz w:val="28"/>
          <w:szCs w:val="28"/>
        </w:rPr>
        <w:t>支链淀粉与碘的络合物较不稳定，当加入碘试剂在</w:t>
      </w:r>
      <w:r>
        <w:rPr>
          <w:rFonts w:hint="eastAsia" w:ascii="仿宋_GB2312" w:eastAsia="仿宋_GB2312"/>
          <w:color w:val="000000" w:themeColor="text1"/>
          <w:sz w:val="28"/>
          <w:szCs w:val="28"/>
        </w:rPr>
        <w:t>1mL</w:t>
      </w:r>
      <w:r>
        <w:rPr>
          <w:rFonts w:hint="eastAsia" w:ascii="仿宋_GB2312" w:hAnsi="宋体" w:eastAsia="仿宋_GB2312"/>
          <w:color w:val="000000" w:themeColor="text1"/>
          <w:sz w:val="28"/>
          <w:szCs w:val="28"/>
        </w:rPr>
        <w:t>以下时，随着碘试剂用量的增加，吸光度值也随着升高。当加入碘试剂在</w:t>
      </w:r>
      <w:r>
        <w:rPr>
          <w:rFonts w:hint="eastAsia" w:ascii="仿宋_GB2312" w:eastAsia="仿宋_GB2312"/>
          <w:color w:val="000000" w:themeColor="text1"/>
          <w:sz w:val="28"/>
          <w:szCs w:val="28"/>
        </w:rPr>
        <w:t>1mL</w:t>
      </w:r>
      <w:r>
        <w:rPr>
          <w:rFonts w:hint="eastAsia" w:ascii="仿宋_GB2312" w:hAnsi="宋体" w:eastAsia="仿宋_GB2312"/>
          <w:color w:val="000000" w:themeColor="text1"/>
          <w:sz w:val="28"/>
          <w:szCs w:val="28"/>
        </w:rPr>
        <w:t>以上时，升高的趋势已很平缓。所以从节约成本及减少浪费，保证实验准确度，最后确定定容到</w:t>
      </w:r>
      <w:r>
        <w:rPr>
          <w:rFonts w:hint="eastAsia" w:ascii="仿宋_GB2312" w:eastAsia="仿宋_GB2312"/>
          <w:color w:val="000000" w:themeColor="text1"/>
          <w:sz w:val="28"/>
          <w:szCs w:val="28"/>
        </w:rPr>
        <w:t>50mL</w:t>
      </w:r>
      <w:r>
        <w:rPr>
          <w:rFonts w:hint="eastAsia" w:ascii="仿宋_GB2312" w:hAnsi="宋体" w:eastAsia="仿宋_GB2312"/>
          <w:color w:val="000000" w:themeColor="text1"/>
          <w:sz w:val="28"/>
          <w:szCs w:val="28"/>
        </w:rPr>
        <w:t>的显色液，需要加入的碘试剂为</w:t>
      </w:r>
      <w:r>
        <w:rPr>
          <w:rFonts w:hint="eastAsia" w:ascii="仿宋_GB2312" w:eastAsia="仿宋_GB2312"/>
          <w:color w:val="000000" w:themeColor="text1"/>
          <w:sz w:val="28"/>
          <w:szCs w:val="28"/>
        </w:rPr>
        <w:t>1mL</w:t>
      </w:r>
      <w:r>
        <w:rPr>
          <w:rFonts w:hint="eastAsia" w:ascii="仿宋_GB2312" w:hAnsi="宋体" w:eastAsia="仿宋_GB2312"/>
          <w:color w:val="000000" w:themeColor="text1"/>
          <w:sz w:val="28"/>
          <w:szCs w:val="28"/>
        </w:rPr>
        <w:t>。</w:t>
      </w:r>
      <w:r>
        <w:rPr>
          <w:rFonts w:hint="eastAsia" w:ascii="仿宋_GB2312" w:eastAsia="仿宋_GB2312"/>
          <w:color w:val="000000" w:themeColor="text1"/>
          <w:sz w:val="28"/>
          <w:szCs w:val="28"/>
        </w:rPr>
        <w:t xml:space="preserve">    </w:t>
      </w:r>
    </w:p>
    <w:p>
      <w:pPr>
        <w:pStyle w:val="14"/>
        <w:numPr>
          <w:ilvl w:val="0"/>
          <w:numId w:val="7"/>
        </w:numPr>
        <w:autoSpaceDE w:val="0"/>
        <w:autoSpaceDN w:val="0"/>
        <w:adjustRightInd w:val="0"/>
        <w:ind w:left="0" w:firstLine="0" w:firstLineChars="0"/>
        <w:jc w:val="left"/>
        <w:outlineLvl w:val="3"/>
        <w:rPr>
          <w:rFonts w:ascii="仿宋_GB2312" w:eastAsia="仿宋_GB2312"/>
          <w:color w:val="000000" w:themeColor="text1"/>
          <w:sz w:val="28"/>
          <w:szCs w:val="28"/>
        </w:rPr>
      </w:pPr>
      <w:r>
        <w:rPr>
          <w:rFonts w:hint="eastAsia" w:ascii="仿宋_GB2312" w:hAnsi="宋体" w:eastAsia="仿宋_GB2312"/>
          <w:sz w:val="28"/>
          <w:szCs w:val="28"/>
        </w:rPr>
        <w:t>乙酸用量确定</w:t>
      </w:r>
    </w:p>
    <w:p>
      <w:pPr>
        <w:ind w:firstLine="560" w:firstLineChars="200"/>
        <w:rPr>
          <w:rFonts w:ascii="仿宋_GB2312" w:eastAsia="仿宋_GB2312"/>
          <w:color w:val="000000" w:themeColor="text1"/>
          <w:sz w:val="28"/>
          <w:szCs w:val="28"/>
        </w:rPr>
      </w:pPr>
      <w:r>
        <w:rPr>
          <w:rFonts w:hint="eastAsia" w:ascii="仿宋_GB2312" w:hAnsi="宋体" w:eastAsia="仿宋_GB2312"/>
          <w:sz w:val="28"/>
          <w:szCs w:val="28"/>
        </w:rPr>
        <w:t>淀粉与碘显色最佳</w:t>
      </w:r>
      <w:r>
        <w:rPr>
          <w:rFonts w:hint="eastAsia" w:ascii="仿宋_GB2312" w:eastAsia="仿宋_GB2312"/>
          <w:color w:val="000000" w:themeColor="text1"/>
          <w:sz w:val="28"/>
          <w:szCs w:val="28"/>
        </w:rPr>
        <w:t>pH</w:t>
      </w:r>
      <w:r>
        <w:rPr>
          <w:rFonts w:hint="eastAsia" w:ascii="仿宋_GB2312" w:hAnsi="宋体" w:eastAsia="仿宋_GB2312"/>
          <w:color w:val="000000" w:themeColor="text1"/>
          <w:sz w:val="28"/>
          <w:szCs w:val="28"/>
        </w:rPr>
        <w:t>在</w:t>
      </w:r>
      <w:r>
        <w:rPr>
          <w:rFonts w:hint="eastAsia" w:ascii="仿宋_GB2312" w:eastAsia="仿宋_GB2312"/>
          <w:color w:val="000000" w:themeColor="text1"/>
          <w:sz w:val="28"/>
          <w:szCs w:val="28"/>
        </w:rPr>
        <w:t>3-5</w:t>
      </w:r>
      <w:r>
        <w:rPr>
          <w:rFonts w:hint="eastAsia" w:ascii="仿宋_GB2312" w:hAnsi="宋体" w:eastAsia="仿宋_GB2312"/>
          <w:color w:val="000000" w:themeColor="text1"/>
          <w:sz w:val="28"/>
          <w:szCs w:val="28"/>
        </w:rPr>
        <w:t>左右，因此，吸取</w:t>
      </w:r>
      <w:r>
        <w:rPr>
          <w:rFonts w:hint="eastAsia" w:ascii="仿宋_GB2312" w:eastAsia="仿宋_GB2312"/>
          <w:color w:val="000000" w:themeColor="text1"/>
          <w:sz w:val="28"/>
          <w:szCs w:val="28"/>
        </w:rPr>
        <w:t>2mL</w:t>
      </w:r>
      <w:r>
        <w:rPr>
          <w:rFonts w:hint="eastAsia" w:ascii="仿宋_GB2312" w:hAnsi="宋体" w:eastAsia="仿宋_GB2312"/>
          <w:color w:val="000000" w:themeColor="text1"/>
          <w:sz w:val="28"/>
          <w:szCs w:val="28"/>
        </w:rPr>
        <w:t>、</w:t>
      </w:r>
      <w:r>
        <w:rPr>
          <w:rFonts w:hint="eastAsia" w:ascii="仿宋_GB2312" w:eastAsia="仿宋_GB2312"/>
          <w:color w:val="000000" w:themeColor="text1"/>
          <w:sz w:val="28"/>
          <w:szCs w:val="28"/>
        </w:rPr>
        <w:t>4mL</w:t>
      </w:r>
      <w:r>
        <w:rPr>
          <w:rFonts w:hint="eastAsia" w:ascii="仿宋_GB2312" w:hAnsi="宋体" w:eastAsia="仿宋_GB2312"/>
          <w:color w:val="000000" w:themeColor="text1"/>
          <w:sz w:val="28"/>
          <w:szCs w:val="28"/>
        </w:rPr>
        <w:t>、</w:t>
      </w:r>
      <w:r>
        <w:rPr>
          <w:rFonts w:hint="eastAsia" w:ascii="仿宋_GB2312" w:eastAsia="仿宋_GB2312"/>
          <w:color w:val="000000" w:themeColor="text1"/>
          <w:sz w:val="28"/>
          <w:szCs w:val="28"/>
        </w:rPr>
        <w:t>6mL</w:t>
      </w:r>
      <w:r>
        <w:rPr>
          <w:rFonts w:hint="eastAsia" w:ascii="仿宋_GB2312" w:hAnsi="宋体" w:eastAsia="仿宋_GB2312"/>
          <w:color w:val="000000" w:themeColor="text1"/>
          <w:sz w:val="28"/>
          <w:szCs w:val="28"/>
        </w:rPr>
        <w:t>、</w:t>
      </w:r>
      <w:r>
        <w:rPr>
          <w:rFonts w:hint="eastAsia" w:ascii="仿宋_GB2312" w:eastAsia="仿宋_GB2312"/>
          <w:color w:val="000000" w:themeColor="text1"/>
          <w:sz w:val="28"/>
          <w:szCs w:val="28"/>
        </w:rPr>
        <w:t>8mL</w:t>
      </w:r>
      <w:r>
        <w:rPr>
          <w:rFonts w:hint="eastAsia" w:ascii="仿宋_GB2312" w:hAnsi="宋体" w:eastAsia="仿宋_GB2312"/>
          <w:color w:val="000000" w:themeColor="text1"/>
          <w:sz w:val="28"/>
          <w:szCs w:val="28"/>
        </w:rPr>
        <w:t>、</w:t>
      </w:r>
      <w:r>
        <w:rPr>
          <w:rFonts w:hint="eastAsia" w:ascii="仿宋_GB2312" w:eastAsia="仿宋_GB2312"/>
          <w:color w:val="000000" w:themeColor="text1"/>
          <w:sz w:val="28"/>
          <w:szCs w:val="28"/>
        </w:rPr>
        <w:t>10mL</w:t>
      </w:r>
      <w:r>
        <w:rPr>
          <w:rFonts w:hint="eastAsia" w:ascii="仿宋_GB2312" w:hAnsi="宋体" w:eastAsia="仿宋_GB2312"/>
          <w:color w:val="000000" w:themeColor="text1"/>
          <w:sz w:val="28"/>
          <w:szCs w:val="28"/>
        </w:rPr>
        <w:t>标准溶液，分别加入乙酸</w:t>
      </w:r>
      <w:r>
        <w:rPr>
          <w:rFonts w:hint="eastAsia" w:ascii="仿宋_GB2312" w:eastAsia="仿宋_GB2312"/>
          <w:color w:val="000000" w:themeColor="text1"/>
          <w:sz w:val="28"/>
          <w:szCs w:val="28"/>
        </w:rPr>
        <w:t>1mol/L</w:t>
      </w:r>
      <w:r>
        <w:rPr>
          <w:rFonts w:hint="eastAsia" w:ascii="仿宋_GB2312" w:hAnsi="宋体" w:eastAsia="仿宋_GB2312"/>
          <w:color w:val="000000" w:themeColor="text1"/>
          <w:sz w:val="28"/>
          <w:szCs w:val="28"/>
        </w:rPr>
        <w:t>（</w:t>
      </w:r>
      <w:r>
        <w:rPr>
          <w:rFonts w:hint="eastAsia" w:ascii="仿宋_GB2312" w:eastAsia="仿宋_GB2312"/>
          <w:color w:val="000000" w:themeColor="text1"/>
          <w:sz w:val="28"/>
          <w:szCs w:val="28"/>
        </w:rPr>
        <w:t>1mL</w:t>
      </w:r>
      <w:r>
        <w:rPr>
          <w:rFonts w:hint="eastAsia" w:ascii="仿宋_GB2312" w:hAnsi="宋体" w:eastAsia="仿宋_GB2312"/>
          <w:color w:val="000000" w:themeColor="text1"/>
          <w:sz w:val="28"/>
          <w:szCs w:val="28"/>
        </w:rPr>
        <w:t>、</w:t>
      </w:r>
      <w:r>
        <w:rPr>
          <w:rFonts w:hint="eastAsia" w:ascii="仿宋_GB2312" w:eastAsia="仿宋_GB2312"/>
          <w:color w:val="000000" w:themeColor="text1"/>
          <w:sz w:val="28"/>
          <w:szCs w:val="28"/>
        </w:rPr>
        <w:t>2mL</w:t>
      </w:r>
      <w:r>
        <w:rPr>
          <w:rFonts w:hint="eastAsia" w:ascii="仿宋_GB2312" w:hAnsi="宋体" w:eastAsia="仿宋_GB2312"/>
          <w:color w:val="000000" w:themeColor="text1"/>
          <w:sz w:val="28"/>
          <w:szCs w:val="28"/>
        </w:rPr>
        <w:t>、</w:t>
      </w:r>
      <w:r>
        <w:rPr>
          <w:rFonts w:hint="eastAsia" w:ascii="仿宋_GB2312" w:eastAsia="仿宋_GB2312"/>
          <w:color w:val="000000" w:themeColor="text1"/>
          <w:sz w:val="28"/>
          <w:szCs w:val="28"/>
        </w:rPr>
        <w:t>3mL</w:t>
      </w:r>
      <w:r>
        <w:rPr>
          <w:rFonts w:hint="eastAsia" w:ascii="仿宋_GB2312" w:hAnsi="宋体" w:eastAsia="仿宋_GB2312"/>
          <w:color w:val="000000" w:themeColor="text1"/>
          <w:sz w:val="28"/>
          <w:szCs w:val="28"/>
        </w:rPr>
        <w:t>）定容到</w:t>
      </w:r>
      <w:r>
        <w:rPr>
          <w:rFonts w:hint="eastAsia" w:ascii="仿宋_GB2312" w:eastAsia="仿宋_GB2312"/>
          <w:color w:val="000000" w:themeColor="text1"/>
          <w:sz w:val="28"/>
          <w:szCs w:val="28"/>
        </w:rPr>
        <w:t>50mL</w:t>
      </w:r>
      <w:r>
        <w:rPr>
          <w:rFonts w:hint="eastAsia" w:ascii="仿宋_GB2312" w:hAnsi="宋体" w:eastAsia="仿宋_GB2312"/>
          <w:color w:val="000000" w:themeColor="text1"/>
          <w:sz w:val="28"/>
          <w:szCs w:val="28"/>
        </w:rPr>
        <w:t>测定其</w:t>
      </w:r>
      <w:r>
        <w:rPr>
          <w:rFonts w:hint="eastAsia" w:ascii="仿宋_GB2312" w:eastAsia="仿宋_GB2312"/>
          <w:color w:val="000000" w:themeColor="text1"/>
          <w:sz w:val="28"/>
          <w:szCs w:val="28"/>
        </w:rPr>
        <w:t>pH</w:t>
      </w:r>
      <w:r>
        <w:rPr>
          <w:rFonts w:hint="eastAsia" w:ascii="仿宋_GB2312" w:hAnsi="宋体" w:eastAsia="仿宋_GB2312"/>
          <w:color w:val="000000" w:themeColor="text1"/>
          <w:sz w:val="28"/>
          <w:szCs w:val="28"/>
        </w:rPr>
        <w:t>变化。结果入下表：结果表明标准溶液体积在</w:t>
      </w:r>
      <w:r>
        <w:rPr>
          <w:rFonts w:hint="eastAsia" w:ascii="仿宋_GB2312" w:eastAsia="仿宋_GB2312"/>
          <w:color w:val="000000" w:themeColor="text1"/>
          <w:sz w:val="28"/>
          <w:szCs w:val="28"/>
        </w:rPr>
        <w:t>2-10mL</w:t>
      </w:r>
      <w:r>
        <w:rPr>
          <w:rFonts w:hint="eastAsia" w:ascii="仿宋_GB2312" w:hAnsi="宋体" w:eastAsia="仿宋_GB2312"/>
          <w:color w:val="000000" w:themeColor="text1"/>
          <w:sz w:val="28"/>
          <w:szCs w:val="28"/>
        </w:rPr>
        <w:t>之间，乙酸加入体积在</w:t>
      </w:r>
      <w:r>
        <w:rPr>
          <w:rFonts w:hint="eastAsia" w:ascii="仿宋_GB2312" w:eastAsia="仿宋_GB2312"/>
          <w:color w:val="000000" w:themeColor="text1"/>
          <w:sz w:val="28"/>
          <w:szCs w:val="28"/>
        </w:rPr>
        <w:t>2mL</w:t>
      </w:r>
      <w:r>
        <w:rPr>
          <w:rFonts w:hint="eastAsia" w:ascii="仿宋_GB2312" w:hAnsi="宋体" w:eastAsia="仿宋_GB2312"/>
          <w:color w:val="000000" w:themeColor="text1"/>
          <w:sz w:val="28"/>
          <w:szCs w:val="28"/>
        </w:rPr>
        <w:t>的时候定容到</w:t>
      </w:r>
      <w:r>
        <w:rPr>
          <w:rFonts w:hint="eastAsia" w:ascii="仿宋_GB2312" w:eastAsia="仿宋_GB2312"/>
          <w:color w:val="000000" w:themeColor="text1"/>
          <w:sz w:val="28"/>
          <w:szCs w:val="28"/>
        </w:rPr>
        <w:t>50mL</w:t>
      </w:r>
      <w:r>
        <w:rPr>
          <w:rFonts w:hint="eastAsia" w:ascii="仿宋_GB2312" w:hAnsi="宋体" w:eastAsia="仿宋_GB2312"/>
          <w:color w:val="000000" w:themeColor="text1"/>
          <w:sz w:val="28"/>
          <w:szCs w:val="28"/>
        </w:rPr>
        <w:t>，溶液的</w:t>
      </w:r>
      <w:r>
        <w:rPr>
          <w:rFonts w:hint="eastAsia" w:ascii="仿宋_GB2312" w:eastAsia="仿宋_GB2312"/>
          <w:color w:val="000000" w:themeColor="text1"/>
          <w:sz w:val="28"/>
          <w:szCs w:val="28"/>
        </w:rPr>
        <w:t>pH</w:t>
      </w:r>
      <w:r>
        <w:rPr>
          <w:rFonts w:hint="eastAsia" w:ascii="仿宋_GB2312" w:hAnsi="宋体" w:eastAsia="仿宋_GB2312"/>
          <w:color w:val="000000" w:themeColor="text1"/>
          <w:sz w:val="28"/>
          <w:szCs w:val="28"/>
        </w:rPr>
        <w:t>值为在</w:t>
      </w:r>
      <w:r>
        <w:rPr>
          <w:rFonts w:hint="eastAsia" w:ascii="仿宋_GB2312" w:eastAsia="仿宋_GB2312"/>
          <w:color w:val="000000" w:themeColor="text1"/>
          <w:sz w:val="28"/>
          <w:szCs w:val="28"/>
        </w:rPr>
        <w:t>3.56-4.38</w:t>
      </w:r>
      <w:r>
        <w:rPr>
          <w:rFonts w:hint="eastAsia" w:ascii="仿宋_GB2312" w:hAnsi="宋体" w:eastAsia="仿宋_GB2312"/>
          <w:color w:val="000000" w:themeColor="text1"/>
          <w:sz w:val="28"/>
          <w:szCs w:val="28"/>
        </w:rPr>
        <w:t>之间，是碘与淀粉显色最佳范围。</w:t>
      </w:r>
    </w:p>
    <w:p>
      <w:pPr>
        <w:autoSpaceDE w:val="0"/>
        <w:autoSpaceDN w:val="0"/>
        <w:spacing w:line="360" w:lineRule="auto"/>
        <w:ind w:firstLine="405"/>
        <w:jc w:val="center"/>
        <w:rPr>
          <w:rFonts w:ascii="仿宋_GB2312" w:eastAsia="仿宋_GB2312"/>
          <w:color w:val="000000" w:themeColor="text1"/>
          <w:sz w:val="28"/>
          <w:szCs w:val="28"/>
        </w:rPr>
      </w:pPr>
      <w:r>
        <w:rPr>
          <w:rFonts w:hint="eastAsia" w:ascii="仿宋_GB2312" w:hAnsi="宋体" w:eastAsia="仿宋_GB2312"/>
          <w:color w:val="000000" w:themeColor="text1"/>
          <w:sz w:val="28"/>
          <w:szCs w:val="28"/>
        </w:rPr>
        <w:t>表</w:t>
      </w:r>
      <w:r>
        <w:rPr>
          <w:rFonts w:hint="eastAsia" w:ascii="仿宋_GB2312" w:eastAsia="仿宋_GB2312"/>
          <w:color w:val="000000" w:themeColor="text1"/>
          <w:sz w:val="28"/>
          <w:szCs w:val="28"/>
        </w:rPr>
        <w:t xml:space="preserve">1 </w:t>
      </w:r>
      <w:r>
        <w:rPr>
          <w:rFonts w:hint="eastAsia" w:ascii="仿宋_GB2312" w:hAnsi="宋体" w:eastAsia="仿宋_GB2312"/>
          <w:color w:val="000000" w:themeColor="text1"/>
          <w:sz w:val="28"/>
          <w:szCs w:val="28"/>
        </w:rPr>
        <w:t>不同标液加入乙酸溶液</w:t>
      </w:r>
      <w:r>
        <w:rPr>
          <w:rFonts w:hint="eastAsia" w:ascii="仿宋_GB2312" w:eastAsia="仿宋_GB2312"/>
          <w:color w:val="000000" w:themeColor="text1"/>
          <w:sz w:val="28"/>
          <w:szCs w:val="28"/>
        </w:rPr>
        <w:t>pH</w:t>
      </w:r>
      <w:r>
        <w:rPr>
          <w:rFonts w:hint="eastAsia" w:ascii="仿宋_GB2312" w:hAnsi="宋体" w:eastAsia="仿宋_GB2312"/>
          <w:color w:val="000000" w:themeColor="text1"/>
          <w:sz w:val="28"/>
          <w:szCs w:val="28"/>
        </w:rPr>
        <w:t>值变化</w:t>
      </w:r>
    </w:p>
    <w:tbl>
      <w:tblPr>
        <w:tblStyle w:val="10"/>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068"/>
        <w:gridCol w:w="3110"/>
        <w:gridCol w:w="311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52" w:type="pct"/>
            <w:vAlign w:val="center"/>
          </w:tcPr>
          <w:p>
            <w:pPr>
              <w:autoSpaceDE w:val="0"/>
              <w:autoSpaceDN w:val="0"/>
              <w:jc w:val="center"/>
              <w:rPr>
                <w:color w:val="000000" w:themeColor="text1"/>
                <w:sz w:val="24"/>
              </w:rPr>
            </w:pPr>
            <w:r>
              <w:rPr>
                <w:color w:val="000000" w:themeColor="text1"/>
                <w:sz w:val="24"/>
              </w:rPr>
              <w:t>吸取标准溶液体积（mL）</w:t>
            </w:r>
          </w:p>
        </w:tc>
        <w:tc>
          <w:tcPr>
            <w:tcW w:w="1674" w:type="pct"/>
            <w:vAlign w:val="center"/>
          </w:tcPr>
          <w:p>
            <w:pPr>
              <w:autoSpaceDE w:val="0"/>
              <w:autoSpaceDN w:val="0"/>
              <w:spacing w:line="360" w:lineRule="auto"/>
              <w:jc w:val="center"/>
              <w:rPr>
                <w:color w:val="000000" w:themeColor="text1"/>
                <w:sz w:val="24"/>
              </w:rPr>
            </w:pPr>
            <w:r>
              <w:rPr>
                <w:color w:val="000000" w:themeColor="text1"/>
                <w:sz w:val="24"/>
              </w:rPr>
              <w:t>加入1mo</w:t>
            </w:r>
            <w:r>
              <w:rPr>
                <w:rFonts w:hint="eastAsia"/>
                <w:color w:val="000000" w:themeColor="text1"/>
                <w:sz w:val="24"/>
              </w:rPr>
              <w:t>l</w:t>
            </w:r>
            <w:r>
              <w:rPr>
                <w:color w:val="000000" w:themeColor="text1"/>
                <w:sz w:val="24"/>
              </w:rPr>
              <w:t>/L乙酸体积（mL）</w:t>
            </w:r>
          </w:p>
        </w:tc>
        <w:tc>
          <w:tcPr>
            <w:tcW w:w="1674" w:type="pct"/>
            <w:tcBorders>
              <w:left w:val="single" w:color="auto" w:sz="4" w:space="0"/>
            </w:tcBorders>
            <w:vAlign w:val="center"/>
          </w:tcPr>
          <w:p>
            <w:pPr>
              <w:autoSpaceDE w:val="0"/>
              <w:autoSpaceDN w:val="0"/>
              <w:spacing w:line="360" w:lineRule="auto"/>
              <w:jc w:val="center"/>
              <w:rPr>
                <w:color w:val="000000" w:themeColor="text1"/>
                <w:sz w:val="24"/>
              </w:rPr>
            </w:pPr>
            <w:r>
              <w:rPr>
                <w:color w:val="000000" w:themeColor="text1"/>
                <w:sz w:val="24"/>
              </w:rPr>
              <w:t>定容到50mL</w:t>
            </w:r>
          </w:p>
          <w:p>
            <w:pPr>
              <w:autoSpaceDE w:val="0"/>
              <w:autoSpaceDN w:val="0"/>
              <w:spacing w:line="360" w:lineRule="auto"/>
              <w:jc w:val="center"/>
              <w:rPr>
                <w:color w:val="000000" w:themeColor="text1"/>
                <w:sz w:val="24"/>
              </w:rPr>
            </w:pPr>
            <w:r>
              <w:rPr>
                <w:color w:val="000000" w:themeColor="text1"/>
                <w:sz w:val="24"/>
              </w:rPr>
              <w:t>溶液pH值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52" w:type="pct"/>
            <w:vAlign w:val="center"/>
          </w:tcPr>
          <w:p>
            <w:pPr>
              <w:autoSpaceDE w:val="0"/>
              <w:autoSpaceDN w:val="0"/>
              <w:jc w:val="center"/>
              <w:rPr>
                <w:color w:val="000000" w:themeColor="text1"/>
                <w:sz w:val="24"/>
              </w:rPr>
            </w:pPr>
            <w:r>
              <w:rPr>
                <w:color w:val="000000" w:themeColor="text1"/>
                <w:sz w:val="24"/>
              </w:rPr>
              <w:t>2</w:t>
            </w:r>
          </w:p>
        </w:tc>
        <w:tc>
          <w:tcPr>
            <w:tcW w:w="1674" w:type="pct"/>
            <w:vAlign w:val="center"/>
          </w:tcPr>
          <w:p>
            <w:pPr>
              <w:autoSpaceDE w:val="0"/>
              <w:autoSpaceDN w:val="0"/>
              <w:jc w:val="center"/>
              <w:rPr>
                <w:color w:val="000000" w:themeColor="text1"/>
                <w:sz w:val="24"/>
              </w:rPr>
            </w:pPr>
            <w:r>
              <w:rPr>
                <w:color w:val="000000" w:themeColor="text1"/>
                <w:sz w:val="24"/>
              </w:rPr>
              <w:t>1</w:t>
            </w:r>
          </w:p>
        </w:tc>
        <w:tc>
          <w:tcPr>
            <w:tcW w:w="1674" w:type="pct"/>
            <w:tcBorders>
              <w:left w:val="single" w:color="auto" w:sz="4" w:space="0"/>
            </w:tcBorders>
            <w:vAlign w:val="center"/>
          </w:tcPr>
          <w:p>
            <w:pPr>
              <w:autoSpaceDE w:val="0"/>
              <w:autoSpaceDN w:val="0"/>
              <w:jc w:val="center"/>
              <w:rPr>
                <w:color w:val="000000" w:themeColor="text1"/>
                <w:sz w:val="24"/>
              </w:rPr>
            </w:pPr>
            <w:r>
              <w:rPr>
                <w:color w:val="000000" w:themeColor="text1"/>
                <w:sz w:val="24"/>
              </w:rPr>
              <w:t>3.90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52" w:type="pct"/>
            <w:vAlign w:val="center"/>
          </w:tcPr>
          <w:p>
            <w:pPr>
              <w:autoSpaceDE w:val="0"/>
              <w:autoSpaceDN w:val="0"/>
              <w:jc w:val="center"/>
              <w:rPr>
                <w:color w:val="000000" w:themeColor="text1"/>
                <w:sz w:val="24"/>
              </w:rPr>
            </w:pPr>
            <w:r>
              <w:rPr>
                <w:color w:val="000000" w:themeColor="text1"/>
                <w:sz w:val="24"/>
              </w:rPr>
              <w:t>2</w:t>
            </w:r>
          </w:p>
        </w:tc>
        <w:tc>
          <w:tcPr>
            <w:tcW w:w="1674" w:type="pct"/>
            <w:vAlign w:val="center"/>
          </w:tcPr>
          <w:p>
            <w:pPr>
              <w:autoSpaceDE w:val="0"/>
              <w:autoSpaceDN w:val="0"/>
              <w:jc w:val="center"/>
              <w:rPr>
                <w:color w:val="000000" w:themeColor="text1"/>
                <w:sz w:val="24"/>
              </w:rPr>
            </w:pPr>
            <w:r>
              <w:rPr>
                <w:color w:val="000000" w:themeColor="text1"/>
                <w:sz w:val="24"/>
              </w:rPr>
              <w:t>2</w:t>
            </w:r>
          </w:p>
        </w:tc>
        <w:tc>
          <w:tcPr>
            <w:tcW w:w="1674" w:type="pct"/>
            <w:tcBorders>
              <w:left w:val="single" w:color="auto" w:sz="4" w:space="0"/>
            </w:tcBorders>
            <w:vAlign w:val="center"/>
          </w:tcPr>
          <w:p>
            <w:pPr>
              <w:autoSpaceDE w:val="0"/>
              <w:autoSpaceDN w:val="0"/>
              <w:jc w:val="center"/>
              <w:rPr>
                <w:color w:val="000000" w:themeColor="text1"/>
                <w:sz w:val="24"/>
              </w:rPr>
            </w:pPr>
            <w:r>
              <w:rPr>
                <w:color w:val="000000" w:themeColor="text1"/>
                <w:sz w:val="24"/>
              </w:rPr>
              <w:t>3.56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52" w:type="pct"/>
            <w:vAlign w:val="center"/>
          </w:tcPr>
          <w:p>
            <w:pPr>
              <w:autoSpaceDE w:val="0"/>
              <w:autoSpaceDN w:val="0"/>
              <w:jc w:val="center"/>
              <w:rPr>
                <w:color w:val="000000" w:themeColor="text1"/>
                <w:sz w:val="24"/>
              </w:rPr>
            </w:pPr>
            <w:r>
              <w:rPr>
                <w:color w:val="000000" w:themeColor="text1"/>
                <w:sz w:val="24"/>
              </w:rPr>
              <w:t>2</w:t>
            </w:r>
          </w:p>
        </w:tc>
        <w:tc>
          <w:tcPr>
            <w:tcW w:w="1674" w:type="pct"/>
            <w:vAlign w:val="center"/>
          </w:tcPr>
          <w:p>
            <w:pPr>
              <w:autoSpaceDE w:val="0"/>
              <w:autoSpaceDN w:val="0"/>
              <w:jc w:val="center"/>
              <w:rPr>
                <w:color w:val="000000" w:themeColor="text1"/>
                <w:sz w:val="24"/>
              </w:rPr>
            </w:pPr>
            <w:r>
              <w:rPr>
                <w:color w:val="000000" w:themeColor="text1"/>
                <w:sz w:val="24"/>
              </w:rPr>
              <w:t>3</w:t>
            </w:r>
          </w:p>
        </w:tc>
        <w:tc>
          <w:tcPr>
            <w:tcW w:w="1674" w:type="pct"/>
            <w:tcBorders>
              <w:left w:val="single" w:color="auto" w:sz="4" w:space="0"/>
            </w:tcBorders>
            <w:vAlign w:val="center"/>
          </w:tcPr>
          <w:p>
            <w:pPr>
              <w:autoSpaceDE w:val="0"/>
              <w:autoSpaceDN w:val="0"/>
              <w:jc w:val="center"/>
              <w:rPr>
                <w:color w:val="000000" w:themeColor="text1"/>
                <w:sz w:val="24"/>
              </w:rPr>
            </w:pPr>
            <w:r>
              <w:rPr>
                <w:color w:val="000000" w:themeColor="text1"/>
                <w:sz w:val="24"/>
              </w:rPr>
              <w:t>3.41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52" w:type="pct"/>
            <w:vAlign w:val="center"/>
          </w:tcPr>
          <w:p>
            <w:pPr>
              <w:autoSpaceDE w:val="0"/>
              <w:autoSpaceDN w:val="0"/>
              <w:jc w:val="center"/>
              <w:rPr>
                <w:color w:val="000000" w:themeColor="text1"/>
                <w:sz w:val="24"/>
              </w:rPr>
            </w:pPr>
            <w:r>
              <w:rPr>
                <w:color w:val="000000" w:themeColor="text1"/>
                <w:sz w:val="24"/>
              </w:rPr>
              <w:t>4</w:t>
            </w:r>
          </w:p>
        </w:tc>
        <w:tc>
          <w:tcPr>
            <w:tcW w:w="1674" w:type="pct"/>
            <w:vAlign w:val="center"/>
          </w:tcPr>
          <w:p>
            <w:pPr>
              <w:autoSpaceDE w:val="0"/>
              <w:autoSpaceDN w:val="0"/>
              <w:jc w:val="center"/>
              <w:rPr>
                <w:color w:val="000000" w:themeColor="text1"/>
                <w:sz w:val="24"/>
              </w:rPr>
            </w:pPr>
            <w:r>
              <w:rPr>
                <w:color w:val="000000" w:themeColor="text1"/>
                <w:sz w:val="24"/>
              </w:rPr>
              <w:t>1</w:t>
            </w:r>
          </w:p>
        </w:tc>
        <w:tc>
          <w:tcPr>
            <w:tcW w:w="1674" w:type="pct"/>
            <w:tcBorders>
              <w:left w:val="single" w:color="auto" w:sz="4" w:space="0"/>
            </w:tcBorders>
            <w:vAlign w:val="center"/>
          </w:tcPr>
          <w:p>
            <w:pPr>
              <w:autoSpaceDE w:val="0"/>
              <w:autoSpaceDN w:val="0"/>
              <w:jc w:val="center"/>
              <w:rPr>
                <w:color w:val="000000" w:themeColor="text1"/>
                <w:sz w:val="24"/>
              </w:rPr>
            </w:pPr>
            <w:r>
              <w:rPr>
                <w:color w:val="000000" w:themeColor="text1"/>
                <w:sz w:val="24"/>
              </w:rPr>
              <w:t>4.27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52" w:type="pct"/>
            <w:vAlign w:val="center"/>
          </w:tcPr>
          <w:p>
            <w:pPr>
              <w:autoSpaceDE w:val="0"/>
              <w:autoSpaceDN w:val="0"/>
              <w:jc w:val="center"/>
              <w:rPr>
                <w:color w:val="000000" w:themeColor="text1"/>
                <w:sz w:val="24"/>
              </w:rPr>
            </w:pPr>
            <w:r>
              <w:rPr>
                <w:color w:val="000000" w:themeColor="text1"/>
                <w:sz w:val="24"/>
              </w:rPr>
              <w:t>4</w:t>
            </w:r>
          </w:p>
        </w:tc>
        <w:tc>
          <w:tcPr>
            <w:tcW w:w="1674" w:type="pct"/>
            <w:vAlign w:val="center"/>
          </w:tcPr>
          <w:p>
            <w:pPr>
              <w:autoSpaceDE w:val="0"/>
              <w:autoSpaceDN w:val="0"/>
              <w:jc w:val="center"/>
              <w:rPr>
                <w:color w:val="000000" w:themeColor="text1"/>
                <w:sz w:val="24"/>
              </w:rPr>
            </w:pPr>
            <w:r>
              <w:rPr>
                <w:color w:val="000000" w:themeColor="text1"/>
                <w:sz w:val="24"/>
              </w:rPr>
              <w:t>2</w:t>
            </w:r>
          </w:p>
        </w:tc>
        <w:tc>
          <w:tcPr>
            <w:tcW w:w="1674" w:type="pct"/>
            <w:tcBorders>
              <w:left w:val="single" w:color="auto" w:sz="4" w:space="0"/>
            </w:tcBorders>
            <w:vAlign w:val="center"/>
          </w:tcPr>
          <w:p>
            <w:pPr>
              <w:autoSpaceDE w:val="0"/>
              <w:autoSpaceDN w:val="0"/>
              <w:jc w:val="center"/>
              <w:rPr>
                <w:color w:val="000000" w:themeColor="text1"/>
                <w:sz w:val="24"/>
              </w:rPr>
            </w:pPr>
            <w:r>
              <w:rPr>
                <w:color w:val="000000" w:themeColor="text1"/>
                <w:sz w:val="24"/>
              </w:rPr>
              <w:t>4.01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52" w:type="pct"/>
            <w:vAlign w:val="center"/>
          </w:tcPr>
          <w:p>
            <w:pPr>
              <w:autoSpaceDE w:val="0"/>
              <w:autoSpaceDN w:val="0"/>
              <w:jc w:val="center"/>
              <w:rPr>
                <w:color w:val="000000" w:themeColor="text1"/>
                <w:sz w:val="24"/>
              </w:rPr>
            </w:pPr>
            <w:r>
              <w:rPr>
                <w:color w:val="000000" w:themeColor="text1"/>
                <w:sz w:val="24"/>
              </w:rPr>
              <w:t>4</w:t>
            </w:r>
          </w:p>
        </w:tc>
        <w:tc>
          <w:tcPr>
            <w:tcW w:w="1674" w:type="pct"/>
            <w:vAlign w:val="center"/>
          </w:tcPr>
          <w:p>
            <w:pPr>
              <w:autoSpaceDE w:val="0"/>
              <w:autoSpaceDN w:val="0"/>
              <w:jc w:val="center"/>
              <w:rPr>
                <w:color w:val="000000" w:themeColor="text1"/>
                <w:sz w:val="24"/>
              </w:rPr>
            </w:pPr>
            <w:r>
              <w:rPr>
                <w:color w:val="000000" w:themeColor="text1"/>
                <w:sz w:val="24"/>
              </w:rPr>
              <w:t>3</w:t>
            </w:r>
          </w:p>
        </w:tc>
        <w:tc>
          <w:tcPr>
            <w:tcW w:w="1674" w:type="pct"/>
            <w:tcBorders>
              <w:left w:val="single" w:color="auto" w:sz="4" w:space="0"/>
            </w:tcBorders>
            <w:vAlign w:val="center"/>
          </w:tcPr>
          <w:p>
            <w:pPr>
              <w:autoSpaceDE w:val="0"/>
              <w:autoSpaceDN w:val="0"/>
              <w:jc w:val="center"/>
              <w:rPr>
                <w:color w:val="000000" w:themeColor="text1"/>
                <w:sz w:val="24"/>
              </w:rPr>
            </w:pPr>
            <w:r>
              <w:rPr>
                <w:color w:val="000000" w:themeColor="text1"/>
                <w:sz w:val="24"/>
              </w:rPr>
              <w:t>3.72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52" w:type="pct"/>
            <w:vAlign w:val="center"/>
          </w:tcPr>
          <w:p>
            <w:pPr>
              <w:autoSpaceDE w:val="0"/>
              <w:autoSpaceDN w:val="0"/>
              <w:jc w:val="center"/>
              <w:rPr>
                <w:color w:val="000000" w:themeColor="text1"/>
                <w:sz w:val="24"/>
              </w:rPr>
            </w:pPr>
            <w:r>
              <w:rPr>
                <w:color w:val="000000" w:themeColor="text1"/>
                <w:sz w:val="24"/>
              </w:rPr>
              <w:t>6</w:t>
            </w:r>
          </w:p>
        </w:tc>
        <w:tc>
          <w:tcPr>
            <w:tcW w:w="1674" w:type="pct"/>
            <w:vAlign w:val="center"/>
          </w:tcPr>
          <w:p>
            <w:pPr>
              <w:autoSpaceDE w:val="0"/>
              <w:autoSpaceDN w:val="0"/>
              <w:jc w:val="center"/>
              <w:rPr>
                <w:color w:val="000000" w:themeColor="text1"/>
                <w:sz w:val="24"/>
              </w:rPr>
            </w:pPr>
            <w:r>
              <w:rPr>
                <w:color w:val="000000" w:themeColor="text1"/>
                <w:sz w:val="24"/>
              </w:rPr>
              <w:t>1</w:t>
            </w:r>
          </w:p>
        </w:tc>
        <w:tc>
          <w:tcPr>
            <w:tcW w:w="1674" w:type="pct"/>
            <w:tcBorders>
              <w:left w:val="single" w:color="auto" w:sz="4" w:space="0"/>
            </w:tcBorders>
            <w:vAlign w:val="center"/>
          </w:tcPr>
          <w:p>
            <w:pPr>
              <w:autoSpaceDE w:val="0"/>
              <w:autoSpaceDN w:val="0"/>
              <w:jc w:val="center"/>
              <w:rPr>
                <w:color w:val="000000" w:themeColor="text1"/>
                <w:sz w:val="24"/>
              </w:rPr>
            </w:pPr>
            <w:r>
              <w:rPr>
                <w:color w:val="000000" w:themeColor="text1"/>
                <w:sz w:val="24"/>
              </w:rPr>
              <w:t>4.52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52" w:type="pct"/>
            <w:vAlign w:val="center"/>
          </w:tcPr>
          <w:p>
            <w:pPr>
              <w:autoSpaceDE w:val="0"/>
              <w:autoSpaceDN w:val="0"/>
              <w:jc w:val="center"/>
              <w:rPr>
                <w:color w:val="000000" w:themeColor="text1"/>
                <w:sz w:val="24"/>
              </w:rPr>
            </w:pPr>
            <w:r>
              <w:rPr>
                <w:color w:val="000000" w:themeColor="text1"/>
                <w:sz w:val="24"/>
              </w:rPr>
              <w:t>6</w:t>
            </w:r>
          </w:p>
        </w:tc>
        <w:tc>
          <w:tcPr>
            <w:tcW w:w="1674" w:type="pct"/>
            <w:vAlign w:val="center"/>
          </w:tcPr>
          <w:p>
            <w:pPr>
              <w:autoSpaceDE w:val="0"/>
              <w:autoSpaceDN w:val="0"/>
              <w:jc w:val="center"/>
              <w:rPr>
                <w:color w:val="000000" w:themeColor="text1"/>
                <w:sz w:val="24"/>
              </w:rPr>
            </w:pPr>
            <w:r>
              <w:rPr>
                <w:color w:val="000000" w:themeColor="text1"/>
                <w:sz w:val="24"/>
              </w:rPr>
              <w:t>2</w:t>
            </w:r>
          </w:p>
        </w:tc>
        <w:tc>
          <w:tcPr>
            <w:tcW w:w="1674" w:type="pct"/>
            <w:tcBorders>
              <w:left w:val="single" w:color="auto" w:sz="4" w:space="0"/>
            </w:tcBorders>
            <w:vAlign w:val="center"/>
          </w:tcPr>
          <w:p>
            <w:pPr>
              <w:autoSpaceDE w:val="0"/>
              <w:autoSpaceDN w:val="0"/>
              <w:jc w:val="center"/>
              <w:rPr>
                <w:color w:val="000000" w:themeColor="text1"/>
                <w:sz w:val="24"/>
              </w:rPr>
            </w:pPr>
            <w:r>
              <w:rPr>
                <w:color w:val="000000" w:themeColor="text1"/>
                <w:sz w:val="24"/>
              </w:rPr>
              <w:t>4.09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52" w:type="pct"/>
            <w:vAlign w:val="center"/>
          </w:tcPr>
          <w:p>
            <w:pPr>
              <w:autoSpaceDE w:val="0"/>
              <w:autoSpaceDN w:val="0"/>
              <w:jc w:val="center"/>
              <w:rPr>
                <w:color w:val="000000" w:themeColor="text1"/>
                <w:sz w:val="24"/>
              </w:rPr>
            </w:pPr>
            <w:r>
              <w:rPr>
                <w:color w:val="000000" w:themeColor="text1"/>
                <w:sz w:val="24"/>
              </w:rPr>
              <w:t>6</w:t>
            </w:r>
          </w:p>
        </w:tc>
        <w:tc>
          <w:tcPr>
            <w:tcW w:w="1674" w:type="pct"/>
            <w:vAlign w:val="center"/>
          </w:tcPr>
          <w:p>
            <w:pPr>
              <w:autoSpaceDE w:val="0"/>
              <w:autoSpaceDN w:val="0"/>
              <w:jc w:val="center"/>
              <w:rPr>
                <w:color w:val="000000" w:themeColor="text1"/>
                <w:sz w:val="24"/>
              </w:rPr>
            </w:pPr>
            <w:r>
              <w:rPr>
                <w:color w:val="000000" w:themeColor="text1"/>
                <w:sz w:val="24"/>
              </w:rPr>
              <w:t>3</w:t>
            </w:r>
          </w:p>
        </w:tc>
        <w:tc>
          <w:tcPr>
            <w:tcW w:w="1674" w:type="pct"/>
            <w:tcBorders>
              <w:left w:val="single" w:color="auto" w:sz="4" w:space="0"/>
            </w:tcBorders>
            <w:vAlign w:val="center"/>
          </w:tcPr>
          <w:p>
            <w:pPr>
              <w:autoSpaceDE w:val="0"/>
              <w:autoSpaceDN w:val="0"/>
              <w:jc w:val="center"/>
              <w:rPr>
                <w:color w:val="000000" w:themeColor="text1"/>
                <w:sz w:val="24"/>
              </w:rPr>
            </w:pPr>
            <w:r>
              <w:rPr>
                <w:color w:val="000000" w:themeColor="text1"/>
                <w:sz w:val="24"/>
              </w:rPr>
              <w:t>3.78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52" w:type="pct"/>
            <w:vAlign w:val="center"/>
          </w:tcPr>
          <w:p>
            <w:pPr>
              <w:autoSpaceDE w:val="0"/>
              <w:autoSpaceDN w:val="0"/>
              <w:jc w:val="center"/>
              <w:rPr>
                <w:color w:val="000000" w:themeColor="text1"/>
                <w:sz w:val="24"/>
              </w:rPr>
            </w:pPr>
            <w:r>
              <w:rPr>
                <w:color w:val="000000" w:themeColor="text1"/>
                <w:sz w:val="24"/>
              </w:rPr>
              <w:t>8</w:t>
            </w:r>
          </w:p>
        </w:tc>
        <w:tc>
          <w:tcPr>
            <w:tcW w:w="1674" w:type="pct"/>
            <w:vAlign w:val="center"/>
          </w:tcPr>
          <w:p>
            <w:pPr>
              <w:autoSpaceDE w:val="0"/>
              <w:autoSpaceDN w:val="0"/>
              <w:jc w:val="center"/>
              <w:rPr>
                <w:color w:val="000000" w:themeColor="text1"/>
                <w:sz w:val="24"/>
              </w:rPr>
            </w:pPr>
            <w:r>
              <w:rPr>
                <w:color w:val="000000" w:themeColor="text1"/>
                <w:sz w:val="24"/>
              </w:rPr>
              <w:t>1</w:t>
            </w:r>
          </w:p>
        </w:tc>
        <w:tc>
          <w:tcPr>
            <w:tcW w:w="1674" w:type="pct"/>
            <w:tcBorders>
              <w:left w:val="single" w:color="auto" w:sz="4" w:space="0"/>
            </w:tcBorders>
            <w:vAlign w:val="center"/>
          </w:tcPr>
          <w:p>
            <w:pPr>
              <w:autoSpaceDE w:val="0"/>
              <w:autoSpaceDN w:val="0"/>
              <w:jc w:val="center"/>
              <w:rPr>
                <w:color w:val="000000" w:themeColor="text1"/>
                <w:sz w:val="24"/>
              </w:rPr>
            </w:pPr>
            <w:r>
              <w:rPr>
                <w:color w:val="000000" w:themeColor="text1"/>
                <w:sz w:val="24"/>
              </w:rPr>
              <w:t>4.69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52" w:type="pct"/>
            <w:vAlign w:val="center"/>
          </w:tcPr>
          <w:p>
            <w:pPr>
              <w:autoSpaceDE w:val="0"/>
              <w:autoSpaceDN w:val="0"/>
              <w:jc w:val="center"/>
              <w:rPr>
                <w:color w:val="000000" w:themeColor="text1"/>
                <w:sz w:val="24"/>
              </w:rPr>
            </w:pPr>
            <w:r>
              <w:rPr>
                <w:color w:val="000000" w:themeColor="text1"/>
                <w:sz w:val="24"/>
              </w:rPr>
              <w:t>8</w:t>
            </w:r>
          </w:p>
        </w:tc>
        <w:tc>
          <w:tcPr>
            <w:tcW w:w="1674" w:type="pct"/>
            <w:vAlign w:val="center"/>
          </w:tcPr>
          <w:p>
            <w:pPr>
              <w:autoSpaceDE w:val="0"/>
              <w:autoSpaceDN w:val="0"/>
              <w:jc w:val="center"/>
              <w:rPr>
                <w:color w:val="000000" w:themeColor="text1"/>
                <w:sz w:val="24"/>
              </w:rPr>
            </w:pPr>
            <w:r>
              <w:rPr>
                <w:color w:val="000000" w:themeColor="text1"/>
                <w:sz w:val="24"/>
              </w:rPr>
              <w:t>2</w:t>
            </w:r>
          </w:p>
        </w:tc>
        <w:tc>
          <w:tcPr>
            <w:tcW w:w="1674" w:type="pct"/>
            <w:tcBorders>
              <w:left w:val="single" w:color="auto" w:sz="4" w:space="0"/>
            </w:tcBorders>
            <w:vAlign w:val="center"/>
          </w:tcPr>
          <w:p>
            <w:pPr>
              <w:autoSpaceDE w:val="0"/>
              <w:autoSpaceDN w:val="0"/>
              <w:jc w:val="center"/>
              <w:rPr>
                <w:color w:val="000000" w:themeColor="text1"/>
                <w:sz w:val="24"/>
              </w:rPr>
            </w:pPr>
            <w:r>
              <w:rPr>
                <w:color w:val="000000" w:themeColor="text1"/>
                <w:sz w:val="24"/>
              </w:rPr>
              <w:t>4.21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52" w:type="pct"/>
            <w:vAlign w:val="center"/>
          </w:tcPr>
          <w:p>
            <w:pPr>
              <w:autoSpaceDE w:val="0"/>
              <w:autoSpaceDN w:val="0"/>
              <w:jc w:val="center"/>
              <w:rPr>
                <w:color w:val="000000" w:themeColor="text1"/>
                <w:sz w:val="24"/>
              </w:rPr>
            </w:pPr>
            <w:r>
              <w:rPr>
                <w:color w:val="000000" w:themeColor="text1"/>
                <w:sz w:val="24"/>
              </w:rPr>
              <w:t>8</w:t>
            </w:r>
          </w:p>
        </w:tc>
        <w:tc>
          <w:tcPr>
            <w:tcW w:w="1674" w:type="pct"/>
            <w:vAlign w:val="center"/>
          </w:tcPr>
          <w:p>
            <w:pPr>
              <w:autoSpaceDE w:val="0"/>
              <w:autoSpaceDN w:val="0"/>
              <w:jc w:val="center"/>
              <w:rPr>
                <w:color w:val="000000" w:themeColor="text1"/>
                <w:sz w:val="24"/>
              </w:rPr>
            </w:pPr>
            <w:r>
              <w:rPr>
                <w:color w:val="000000" w:themeColor="text1"/>
                <w:sz w:val="24"/>
              </w:rPr>
              <w:t>3</w:t>
            </w:r>
          </w:p>
        </w:tc>
        <w:tc>
          <w:tcPr>
            <w:tcW w:w="1674" w:type="pct"/>
            <w:tcBorders>
              <w:left w:val="single" w:color="auto" w:sz="4" w:space="0"/>
            </w:tcBorders>
            <w:vAlign w:val="center"/>
          </w:tcPr>
          <w:p>
            <w:pPr>
              <w:autoSpaceDE w:val="0"/>
              <w:autoSpaceDN w:val="0"/>
              <w:jc w:val="center"/>
              <w:rPr>
                <w:color w:val="000000" w:themeColor="text1"/>
                <w:sz w:val="24"/>
              </w:rPr>
            </w:pPr>
            <w:r>
              <w:rPr>
                <w:color w:val="000000" w:themeColor="text1"/>
                <w:sz w:val="24"/>
              </w:rPr>
              <w:t>3.98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52" w:type="pct"/>
            <w:vAlign w:val="center"/>
          </w:tcPr>
          <w:p>
            <w:pPr>
              <w:autoSpaceDE w:val="0"/>
              <w:autoSpaceDN w:val="0"/>
              <w:jc w:val="center"/>
              <w:rPr>
                <w:color w:val="000000" w:themeColor="text1"/>
                <w:sz w:val="24"/>
              </w:rPr>
            </w:pPr>
            <w:r>
              <w:rPr>
                <w:color w:val="000000" w:themeColor="text1"/>
                <w:sz w:val="24"/>
              </w:rPr>
              <w:t>10</w:t>
            </w:r>
          </w:p>
        </w:tc>
        <w:tc>
          <w:tcPr>
            <w:tcW w:w="1674" w:type="pct"/>
            <w:vAlign w:val="center"/>
          </w:tcPr>
          <w:p>
            <w:pPr>
              <w:autoSpaceDE w:val="0"/>
              <w:autoSpaceDN w:val="0"/>
              <w:jc w:val="center"/>
              <w:rPr>
                <w:color w:val="000000" w:themeColor="text1"/>
                <w:sz w:val="24"/>
              </w:rPr>
            </w:pPr>
            <w:r>
              <w:rPr>
                <w:color w:val="000000" w:themeColor="text1"/>
                <w:sz w:val="24"/>
              </w:rPr>
              <w:t>1</w:t>
            </w:r>
          </w:p>
        </w:tc>
        <w:tc>
          <w:tcPr>
            <w:tcW w:w="1674" w:type="pct"/>
            <w:tcBorders>
              <w:left w:val="single" w:color="auto" w:sz="4" w:space="0"/>
            </w:tcBorders>
            <w:vAlign w:val="center"/>
          </w:tcPr>
          <w:p>
            <w:pPr>
              <w:autoSpaceDE w:val="0"/>
              <w:autoSpaceDN w:val="0"/>
              <w:jc w:val="center"/>
              <w:rPr>
                <w:color w:val="000000" w:themeColor="text1"/>
                <w:sz w:val="24"/>
              </w:rPr>
            </w:pPr>
            <w:r>
              <w:rPr>
                <w:color w:val="000000" w:themeColor="text1"/>
                <w:sz w:val="24"/>
              </w:rPr>
              <w:t>5.20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52" w:type="pct"/>
            <w:vAlign w:val="center"/>
          </w:tcPr>
          <w:p>
            <w:pPr>
              <w:autoSpaceDE w:val="0"/>
              <w:autoSpaceDN w:val="0"/>
              <w:jc w:val="center"/>
              <w:rPr>
                <w:color w:val="000000" w:themeColor="text1"/>
                <w:sz w:val="24"/>
              </w:rPr>
            </w:pPr>
            <w:r>
              <w:rPr>
                <w:color w:val="000000" w:themeColor="text1"/>
                <w:sz w:val="24"/>
              </w:rPr>
              <w:t>10</w:t>
            </w:r>
          </w:p>
        </w:tc>
        <w:tc>
          <w:tcPr>
            <w:tcW w:w="1674" w:type="pct"/>
            <w:vAlign w:val="center"/>
          </w:tcPr>
          <w:p>
            <w:pPr>
              <w:autoSpaceDE w:val="0"/>
              <w:autoSpaceDN w:val="0"/>
              <w:jc w:val="center"/>
              <w:rPr>
                <w:color w:val="000000" w:themeColor="text1"/>
                <w:sz w:val="24"/>
              </w:rPr>
            </w:pPr>
            <w:r>
              <w:rPr>
                <w:color w:val="000000" w:themeColor="text1"/>
                <w:sz w:val="24"/>
              </w:rPr>
              <w:t>2</w:t>
            </w:r>
          </w:p>
        </w:tc>
        <w:tc>
          <w:tcPr>
            <w:tcW w:w="1674" w:type="pct"/>
            <w:tcBorders>
              <w:left w:val="single" w:color="auto" w:sz="4" w:space="0"/>
            </w:tcBorders>
            <w:vAlign w:val="center"/>
          </w:tcPr>
          <w:p>
            <w:pPr>
              <w:autoSpaceDE w:val="0"/>
              <w:autoSpaceDN w:val="0"/>
              <w:jc w:val="center"/>
              <w:rPr>
                <w:color w:val="000000" w:themeColor="text1"/>
                <w:sz w:val="24"/>
              </w:rPr>
            </w:pPr>
            <w:r>
              <w:rPr>
                <w:color w:val="000000" w:themeColor="text1"/>
                <w:sz w:val="24"/>
              </w:rPr>
              <w:t>4.38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52" w:type="pct"/>
            <w:vAlign w:val="center"/>
          </w:tcPr>
          <w:p>
            <w:pPr>
              <w:autoSpaceDE w:val="0"/>
              <w:autoSpaceDN w:val="0"/>
              <w:jc w:val="center"/>
              <w:rPr>
                <w:color w:val="000000" w:themeColor="text1"/>
                <w:sz w:val="24"/>
              </w:rPr>
            </w:pPr>
            <w:r>
              <w:rPr>
                <w:color w:val="000000" w:themeColor="text1"/>
                <w:sz w:val="24"/>
              </w:rPr>
              <w:t>10</w:t>
            </w:r>
          </w:p>
        </w:tc>
        <w:tc>
          <w:tcPr>
            <w:tcW w:w="1674" w:type="pct"/>
            <w:vAlign w:val="center"/>
          </w:tcPr>
          <w:p>
            <w:pPr>
              <w:autoSpaceDE w:val="0"/>
              <w:autoSpaceDN w:val="0"/>
              <w:jc w:val="center"/>
              <w:rPr>
                <w:color w:val="000000" w:themeColor="text1"/>
                <w:sz w:val="24"/>
              </w:rPr>
            </w:pPr>
            <w:r>
              <w:rPr>
                <w:color w:val="000000" w:themeColor="text1"/>
                <w:sz w:val="24"/>
              </w:rPr>
              <w:t>3</w:t>
            </w:r>
          </w:p>
        </w:tc>
        <w:tc>
          <w:tcPr>
            <w:tcW w:w="1674" w:type="pct"/>
            <w:tcBorders>
              <w:left w:val="single" w:color="auto" w:sz="4" w:space="0"/>
            </w:tcBorders>
            <w:vAlign w:val="center"/>
          </w:tcPr>
          <w:p>
            <w:pPr>
              <w:autoSpaceDE w:val="0"/>
              <w:autoSpaceDN w:val="0"/>
              <w:jc w:val="center"/>
              <w:rPr>
                <w:color w:val="000000" w:themeColor="text1"/>
                <w:sz w:val="24"/>
              </w:rPr>
            </w:pPr>
            <w:r>
              <w:rPr>
                <w:color w:val="000000" w:themeColor="text1"/>
                <w:sz w:val="24"/>
              </w:rPr>
              <w:t>4.26</w:t>
            </w:r>
          </w:p>
        </w:tc>
      </w:tr>
    </w:tbl>
    <w:p>
      <w:pPr>
        <w:autoSpaceDE w:val="0"/>
        <w:autoSpaceDN w:val="0"/>
        <w:spacing w:line="360" w:lineRule="auto"/>
        <w:ind w:firstLine="270"/>
        <w:rPr>
          <w:color w:val="000000" w:themeColor="text1"/>
          <w:sz w:val="24"/>
        </w:rPr>
      </w:pPr>
    </w:p>
    <w:p>
      <w:pPr>
        <w:pStyle w:val="14"/>
        <w:numPr>
          <w:ilvl w:val="0"/>
          <w:numId w:val="6"/>
        </w:numPr>
        <w:autoSpaceDE w:val="0"/>
        <w:autoSpaceDN w:val="0"/>
        <w:adjustRightInd w:val="0"/>
        <w:ind w:left="0" w:firstLine="0" w:firstLineChars="0"/>
        <w:jc w:val="left"/>
        <w:outlineLvl w:val="2"/>
        <w:rPr>
          <w:rFonts w:ascii="仿宋_GB2312" w:hAnsi="宋体" w:eastAsia="仿宋_GB2312"/>
          <w:b/>
          <w:sz w:val="28"/>
          <w:szCs w:val="28"/>
        </w:rPr>
      </w:pPr>
      <w:r>
        <w:rPr>
          <w:rFonts w:hint="eastAsia" w:ascii="仿宋_GB2312" w:hAnsi="宋体" w:eastAsia="仿宋_GB2312"/>
          <w:b/>
          <w:sz w:val="28"/>
          <w:szCs w:val="28"/>
        </w:rPr>
        <w:t>波长和标曲确定</w:t>
      </w:r>
    </w:p>
    <w:p>
      <w:pPr>
        <w:pStyle w:val="14"/>
        <w:numPr>
          <w:ilvl w:val="0"/>
          <w:numId w:val="8"/>
        </w:numPr>
        <w:autoSpaceDE w:val="0"/>
        <w:autoSpaceDN w:val="0"/>
        <w:adjustRightInd w:val="0"/>
        <w:ind w:firstLineChars="0"/>
        <w:jc w:val="left"/>
        <w:outlineLvl w:val="3"/>
        <w:rPr>
          <w:rFonts w:ascii="仿宋_GB2312" w:eastAsia="仿宋_GB2312"/>
          <w:color w:val="000000" w:themeColor="text1"/>
          <w:sz w:val="28"/>
          <w:szCs w:val="28"/>
        </w:rPr>
      </w:pPr>
      <w:r>
        <w:rPr>
          <w:rFonts w:hint="eastAsia" w:ascii="仿宋_GB2312" w:hAnsi="宋体" w:eastAsia="仿宋_GB2312"/>
          <w:color w:val="000000" w:themeColor="text1"/>
          <w:sz w:val="28"/>
          <w:szCs w:val="28"/>
        </w:rPr>
        <w:t>直链</w:t>
      </w:r>
      <w:r>
        <w:rPr>
          <w:rFonts w:hint="eastAsia" w:ascii="仿宋_GB2312" w:hAnsi="宋体" w:eastAsia="仿宋_GB2312"/>
          <w:b/>
          <w:color w:val="000000" w:themeColor="text1"/>
          <w:sz w:val="28"/>
          <w:szCs w:val="28"/>
        </w:rPr>
        <w:t>、</w:t>
      </w:r>
      <w:r>
        <w:rPr>
          <w:rFonts w:hint="eastAsia" w:ascii="仿宋_GB2312" w:hAnsi="宋体" w:eastAsia="仿宋_GB2312"/>
          <w:sz w:val="28"/>
          <w:szCs w:val="28"/>
        </w:rPr>
        <w:t>支链淀粉最大吸收波长及参比波长的确定</w:t>
      </w:r>
    </w:p>
    <w:p>
      <w:pPr>
        <w:ind w:firstLine="560" w:firstLineChars="200"/>
        <w:rPr>
          <w:rFonts w:ascii="仿宋_GB2312" w:eastAsia="仿宋_GB2312"/>
          <w:color w:val="000000" w:themeColor="text1"/>
          <w:sz w:val="28"/>
          <w:szCs w:val="28"/>
        </w:rPr>
      </w:pPr>
      <w:r>
        <w:rPr>
          <w:rFonts w:hint="eastAsia" w:ascii="仿宋_GB2312" w:hAnsi="宋体" w:eastAsia="仿宋_GB2312"/>
          <w:sz w:val="28"/>
          <w:szCs w:val="28"/>
        </w:rPr>
        <w:t>配置直链淀粉</w:t>
      </w:r>
      <w:r>
        <w:rPr>
          <w:rFonts w:hint="eastAsia" w:ascii="仿宋_GB2312" w:eastAsia="仿宋_GB2312"/>
          <w:color w:val="000000" w:themeColor="text1"/>
          <w:sz w:val="28"/>
          <w:szCs w:val="28"/>
        </w:rPr>
        <w:t>30mg/L</w:t>
      </w:r>
      <w:r>
        <w:rPr>
          <w:rFonts w:hint="eastAsia" w:ascii="仿宋_GB2312" w:hAnsi="宋体" w:eastAsia="仿宋_GB2312"/>
          <w:color w:val="000000" w:themeColor="text1"/>
          <w:sz w:val="28"/>
          <w:szCs w:val="28"/>
        </w:rPr>
        <w:t>，支链淀粉</w:t>
      </w:r>
      <w:r>
        <w:rPr>
          <w:rFonts w:hint="eastAsia" w:ascii="仿宋_GB2312" w:eastAsia="仿宋_GB2312"/>
          <w:color w:val="000000" w:themeColor="text1"/>
          <w:sz w:val="28"/>
          <w:szCs w:val="28"/>
        </w:rPr>
        <w:t>160mg/L</w:t>
      </w:r>
      <w:r>
        <w:rPr>
          <w:rFonts w:hint="eastAsia" w:ascii="仿宋_GB2312" w:hAnsi="宋体" w:eastAsia="仿宋_GB2312"/>
          <w:color w:val="000000" w:themeColor="text1"/>
          <w:sz w:val="28"/>
          <w:szCs w:val="28"/>
        </w:rPr>
        <w:t>标准溶液，用紫外分光光度计对其进行扫描，得到直链和支链淀粉的最大吸收波长分别为</w:t>
      </w:r>
      <w:r>
        <w:rPr>
          <w:rFonts w:hint="eastAsia" w:ascii="仿宋_GB2312" w:eastAsia="仿宋_GB2312"/>
          <w:color w:val="000000" w:themeColor="text1"/>
          <w:sz w:val="28"/>
          <w:szCs w:val="28"/>
        </w:rPr>
        <w:t>630nm</w:t>
      </w:r>
      <w:r>
        <w:rPr>
          <w:rFonts w:hint="eastAsia" w:ascii="仿宋_GB2312" w:hAnsi="宋体" w:eastAsia="仿宋_GB2312"/>
          <w:color w:val="000000" w:themeColor="text1"/>
          <w:sz w:val="28"/>
          <w:szCs w:val="28"/>
        </w:rPr>
        <w:t>和</w:t>
      </w:r>
      <w:r>
        <w:rPr>
          <w:rFonts w:hint="eastAsia" w:ascii="仿宋_GB2312" w:eastAsia="仿宋_GB2312"/>
          <w:color w:val="000000" w:themeColor="text1"/>
          <w:sz w:val="28"/>
          <w:szCs w:val="28"/>
        </w:rPr>
        <w:t>535nm</w:t>
      </w:r>
      <w:r>
        <w:rPr>
          <w:rFonts w:hint="eastAsia" w:ascii="仿宋_GB2312" w:hAnsi="宋体" w:eastAsia="仿宋_GB2312"/>
          <w:color w:val="000000" w:themeColor="text1"/>
          <w:sz w:val="28"/>
          <w:szCs w:val="28"/>
        </w:rPr>
        <w:t>，按照等吸收点作图法确定参比波长分别为</w:t>
      </w:r>
      <w:r>
        <w:rPr>
          <w:rFonts w:hint="eastAsia" w:ascii="仿宋_GB2312" w:eastAsia="仿宋_GB2312"/>
          <w:color w:val="000000" w:themeColor="text1"/>
          <w:sz w:val="28"/>
          <w:szCs w:val="28"/>
        </w:rPr>
        <w:t>757nm</w:t>
      </w:r>
      <w:r>
        <w:rPr>
          <w:rFonts w:hint="eastAsia" w:ascii="仿宋_GB2312" w:hAnsi="宋体" w:eastAsia="仿宋_GB2312"/>
          <w:color w:val="000000" w:themeColor="text1"/>
          <w:sz w:val="28"/>
          <w:szCs w:val="28"/>
        </w:rPr>
        <w:t>和</w:t>
      </w:r>
      <w:r>
        <w:rPr>
          <w:rFonts w:hint="eastAsia" w:ascii="仿宋_GB2312" w:eastAsia="仿宋_GB2312"/>
          <w:color w:val="000000" w:themeColor="text1"/>
          <w:sz w:val="28"/>
          <w:szCs w:val="28"/>
        </w:rPr>
        <w:t>427nm</w:t>
      </w:r>
      <w:r>
        <w:rPr>
          <w:rFonts w:hint="eastAsia" w:ascii="仿宋_GB2312" w:hAnsi="宋体" w:eastAsia="仿宋_GB2312"/>
          <w:color w:val="000000" w:themeColor="text1"/>
          <w:sz w:val="28"/>
          <w:szCs w:val="28"/>
        </w:rPr>
        <w:t>测定直链淀粉的波长对为：</w:t>
      </w:r>
      <w:r>
        <w:rPr>
          <w:rFonts w:hint="eastAsia" w:ascii="仿宋_GB2312" w:eastAsia="仿宋_GB2312"/>
          <w:color w:val="000000" w:themeColor="text1"/>
          <w:sz w:val="28"/>
          <w:szCs w:val="28"/>
        </w:rPr>
        <w:t>630nm</w:t>
      </w:r>
      <w:r>
        <w:rPr>
          <w:rFonts w:hint="eastAsia" w:ascii="仿宋_GB2312" w:hAnsi="宋体" w:eastAsia="仿宋_GB2312"/>
          <w:color w:val="000000" w:themeColor="text1"/>
          <w:sz w:val="28"/>
          <w:szCs w:val="28"/>
        </w:rPr>
        <w:t>，</w:t>
      </w:r>
      <w:r>
        <w:rPr>
          <w:rFonts w:hint="eastAsia" w:ascii="仿宋_GB2312" w:eastAsia="仿宋_GB2312"/>
          <w:color w:val="000000" w:themeColor="text1"/>
          <w:sz w:val="28"/>
          <w:szCs w:val="28"/>
        </w:rPr>
        <w:t>427nm</w:t>
      </w:r>
      <w:r>
        <w:rPr>
          <w:rFonts w:hint="eastAsia" w:ascii="仿宋_GB2312" w:hAnsi="宋体" w:eastAsia="仿宋_GB2312"/>
          <w:color w:val="000000" w:themeColor="text1"/>
          <w:sz w:val="28"/>
          <w:szCs w:val="28"/>
        </w:rPr>
        <w:t>，测定支链淀粉的波长对为</w:t>
      </w:r>
      <w:r>
        <w:rPr>
          <w:rFonts w:hint="eastAsia" w:ascii="仿宋_GB2312" w:eastAsia="仿宋_GB2312"/>
          <w:color w:val="000000" w:themeColor="text1"/>
          <w:sz w:val="28"/>
          <w:szCs w:val="28"/>
        </w:rPr>
        <w:t>535nm</w:t>
      </w:r>
      <w:r>
        <w:rPr>
          <w:rFonts w:hint="eastAsia" w:ascii="仿宋_GB2312" w:hAnsi="宋体" w:eastAsia="仿宋_GB2312"/>
          <w:color w:val="000000" w:themeColor="text1"/>
          <w:sz w:val="28"/>
          <w:szCs w:val="28"/>
        </w:rPr>
        <w:t>和</w:t>
      </w:r>
      <w:r>
        <w:rPr>
          <w:rFonts w:hint="eastAsia" w:ascii="仿宋_GB2312" w:eastAsia="仿宋_GB2312"/>
          <w:color w:val="000000" w:themeColor="text1"/>
          <w:sz w:val="28"/>
          <w:szCs w:val="28"/>
        </w:rPr>
        <w:t>757nm</w:t>
      </w:r>
      <w:r>
        <w:rPr>
          <w:rFonts w:hint="eastAsia" w:ascii="仿宋_GB2312" w:hAnsi="宋体" w:eastAsia="仿宋_GB2312"/>
          <w:color w:val="000000" w:themeColor="text1"/>
          <w:sz w:val="28"/>
          <w:szCs w:val="28"/>
        </w:rPr>
        <w:t>。</w:t>
      </w:r>
    </w:p>
    <w:p>
      <w:pPr>
        <w:ind w:firstLine="480" w:firstLineChars="200"/>
        <w:rPr>
          <w:color w:val="000000" w:themeColor="text1"/>
          <w:sz w:val="24"/>
        </w:rPr>
      </w:pPr>
      <w:r>
        <w:rPr>
          <w:color w:val="000000" w:themeColor="text1"/>
          <w:sz w:val="24"/>
        </w:rPr>
        <w:pict>
          <v:shape id="_x0000_s1038" o:spid="_x0000_s1038" o:spt="202" type="#_x0000_t202" style="position:absolute;left:0pt;margin-left:56.1pt;margin-top:44.2pt;height:22.5pt;width:115.1pt;z-index:251665408;mso-width-relative:page;mso-height-relative:page;" coordsize="21600,21600">
            <v:path/>
            <v:fill focussize="0,0"/>
            <v:stroke joinstyle="miter"/>
            <v:imagedata o:title=""/>
            <o:lock v:ext="edit"/>
            <v:textbox>
              <w:txbxContent>
                <w:p>
                  <w:r>
                    <w:rPr>
                      <w:rFonts w:hint="eastAsia"/>
                      <w:sz w:val="18"/>
                      <w:szCs w:val="18"/>
                    </w:rPr>
                    <w:t>支链淀粉最大吸收曲线</w:t>
                  </w:r>
                </w:p>
              </w:txbxContent>
            </v:textbox>
          </v:shape>
        </w:pict>
      </w:r>
      <w:r>
        <w:rPr>
          <w:color w:val="000000" w:themeColor="text1"/>
          <w:sz w:val="24"/>
        </w:rPr>
        <w:pict>
          <v:shape id="_x0000_s1037" o:spid="_x0000_s1037" o:spt="202" type="#_x0000_t202" style="position:absolute;left:0pt;margin-left:270.75pt;margin-top:36.2pt;height:22.5pt;width:109.75pt;z-index:251664384;mso-width-relative:page;mso-height-relative:page;" coordsize="21600,21600">
            <v:path/>
            <v:fill focussize="0,0"/>
            <v:stroke joinstyle="miter"/>
            <v:imagedata o:title=""/>
            <o:lock v:ext="edit"/>
            <v:textbox>
              <w:txbxContent>
                <w:p>
                  <w:r>
                    <w:rPr>
                      <w:rFonts w:hint="eastAsia"/>
                      <w:sz w:val="18"/>
                      <w:szCs w:val="18"/>
                    </w:rPr>
                    <w:t>直链淀粉最大吸收曲线</w:t>
                  </w:r>
                </w:p>
              </w:txbxContent>
            </v:textbox>
          </v:shape>
        </w:pict>
      </w:r>
      <w:r>
        <w:rPr>
          <w:color w:val="000000" w:themeColor="text1"/>
          <w:sz w:val="24"/>
        </w:rPr>
        <w:pict>
          <v:shape id="_x0000_s1036" o:spid="_x0000_s1036" o:spt="202" type="#_x0000_t202" style="position:absolute;left:0pt;margin-left:117pt;margin-top:185.45pt;height:20.25pt;width:31.5pt;z-index:251663360;mso-width-relative:page;mso-height-relative:page;" coordsize="21600,21600">
            <v:path/>
            <v:fill focussize="0,0"/>
            <v:stroke joinstyle="miter"/>
            <v:imagedata o:title=""/>
            <o:lock v:ext="edit"/>
            <v:textbox>
              <w:txbxContent>
                <w:p>
                  <w:r>
                    <w:rPr>
                      <w:rFonts w:hint="eastAsia"/>
                      <w:sz w:val="18"/>
                      <w:szCs w:val="18"/>
                    </w:rPr>
                    <w:t>427</w:t>
                  </w:r>
                </w:p>
              </w:txbxContent>
            </v:textbox>
          </v:shape>
        </w:pict>
      </w:r>
      <w:r>
        <w:rPr>
          <w:color w:val="000000" w:themeColor="text1"/>
          <w:sz w:val="24"/>
        </w:rPr>
        <w:pict>
          <v:shape id="_x0000_s1033" o:spid="_x0000_s1033" o:spt="202" type="#_x0000_t202" style="position:absolute;left:0pt;margin-left:275.25pt;margin-top:185.45pt;height:19.05pt;width:30pt;z-index:251660288;mso-width-relative:page;mso-height-relative:page;" coordsize="21600,21600">
            <v:path/>
            <v:fill focussize="0,0"/>
            <v:stroke joinstyle="miter"/>
            <v:imagedata o:title=""/>
            <o:lock v:ext="edit"/>
            <v:textbox>
              <w:txbxContent>
                <w:p>
                  <w:r>
                    <w:rPr>
                      <w:rFonts w:hint="eastAsia"/>
                      <w:sz w:val="18"/>
                      <w:szCs w:val="18"/>
                    </w:rPr>
                    <w:t>757</w:t>
                  </w:r>
                </w:p>
              </w:txbxContent>
            </v:textbox>
          </v:shape>
        </w:pict>
      </w:r>
      <w:r>
        <w:rPr>
          <w:color w:val="000000" w:themeColor="text1"/>
          <w:sz w:val="24"/>
        </w:rPr>
        <w:pict>
          <v:shape id="_x0000_s1034" o:spid="_x0000_s1034" o:spt="202" type="#_x0000_t202" style="position:absolute;left:0pt;margin-left:220.5pt;margin-top:185.45pt;height:21.3pt;width:30pt;z-index:251661312;mso-width-relative:page;mso-height-relative:page;" coordsize="21600,21600">
            <v:path/>
            <v:fill focussize="0,0"/>
            <v:stroke joinstyle="miter"/>
            <v:imagedata o:title=""/>
            <o:lock v:ext="edit"/>
            <v:textbox>
              <w:txbxContent>
                <w:p>
                  <w:r>
                    <w:rPr>
                      <w:rFonts w:hint="eastAsia"/>
                      <w:sz w:val="18"/>
                      <w:szCs w:val="18"/>
                    </w:rPr>
                    <w:t>630</w:t>
                  </w:r>
                </w:p>
              </w:txbxContent>
            </v:textbox>
          </v:shape>
        </w:pict>
      </w:r>
      <w:r>
        <w:rPr>
          <w:color w:val="000000" w:themeColor="text1"/>
          <w:sz w:val="24"/>
        </w:rPr>
        <w:pict>
          <v:shape id="_x0000_s1035" o:spid="_x0000_s1035" o:spt="202" type="#_x0000_t202" style="position:absolute;left:0pt;margin-left:168pt;margin-top:185.45pt;height:20.25pt;width:31.5pt;z-index:251662336;mso-width-relative:page;mso-height-relative:page;" coordsize="21600,21600">
            <v:path/>
            <v:fill focussize="0,0"/>
            <v:stroke joinstyle="miter"/>
            <v:imagedata o:title=""/>
            <o:lock v:ext="edit"/>
            <v:textbox>
              <w:txbxContent>
                <w:p>
                  <w:r>
                    <w:rPr>
                      <w:rFonts w:hint="eastAsia"/>
                      <w:sz w:val="18"/>
                      <w:szCs w:val="18"/>
                    </w:rPr>
                    <w:t>535</w:t>
                  </w:r>
                </w:p>
              </w:txbxContent>
            </v:textbox>
          </v:shape>
        </w:pict>
      </w:r>
      <w:r>
        <w:rPr>
          <w:color w:val="000000" w:themeColor="text1"/>
          <w:sz w:val="24"/>
        </w:rPr>
        <w:drawing>
          <wp:inline distT="0" distB="0" distL="0" distR="0">
            <wp:extent cx="4568825" cy="2744470"/>
            <wp:effectExtent l="12182" t="6092" r="6091" b="0"/>
            <wp:docPr id="2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pPr>
        <w:ind w:firstLine="285"/>
        <w:jc w:val="center"/>
        <w:rPr>
          <w:rFonts w:ascii="仿宋_GB2312" w:eastAsia="仿宋_GB2312"/>
          <w:color w:val="000000" w:themeColor="text1"/>
          <w:sz w:val="28"/>
          <w:szCs w:val="28"/>
        </w:rPr>
      </w:pPr>
      <w:r>
        <w:rPr>
          <w:rFonts w:hint="eastAsia" w:ascii="仿宋_GB2312" w:hAnsi="宋体" w:eastAsia="仿宋_GB2312"/>
          <w:color w:val="000000" w:themeColor="text1"/>
          <w:sz w:val="28"/>
          <w:szCs w:val="28"/>
        </w:rPr>
        <w:t>图</w:t>
      </w:r>
      <w:r>
        <w:rPr>
          <w:rFonts w:hint="eastAsia" w:ascii="仿宋_GB2312" w:eastAsia="仿宋_GB2312"/>
          <w:color w:val="000000" w:themeColor="text1"/>
          <w:sz w:val="28"/>
          <w:szCs w:val="28"/>
        </w:rPr>
        <w:t xml:space="preserve">1  </w:t>
      </w:r>
      <w:r>
        <w:rPr>
          <w:rFonts w:hint="eastAsia" w:ascii="仿宋_GB2312" w:hAnsi="宋体" w:eastAsia="仿宋_GB2312"/>
          <w:color w:val="000000" w:themeColor="text1"/>
          <w:sz w:val="28"/>
          <w:szCs w:val="28"/>
        </w:rPr>
        <w:t>光谱扫描曲线</w:t>
      </w:r>
    </w:p>
    <w:p>
      <w:pPr>
        <w:pStyle w:val="14"/>
        <w:numPr>
          <w:ilvl w:val="0"/>
          <w:numId w:val="8"/>
        </w:numPr>
        <w:autoSpaceDE w:val="0"/>
        <w:autoSpaceDN w:val="0"/>
        <w:adjustRightInd w:val="0"/>
        <w:ind w:left="0" w:firstLine="0" w:firstLineChars="0"/>
        <w:jc w:val="left"/>
        <w:outlineLvl w:val="3"/>
        <w:rPr>
          <w:rFonts w:ascii="仿宋_GB2312" w:eastAsia="仿宋_GB2312"/>
          <w:color w:val="000000" w:themeColor="text1"/>
          <w:sz w:val="28"/>
          <w:szCs w:val="28"/>
        </w:rPr>
      </w:pPr>
      <w:r>
        <w:rPr>
          <w:rFonts w:hint="eastAsia" w:ascii="仿宋_GB2312" w:hAnsi="宋体" w:eastAsia="仿宋_GB2312"/>
          <w:sz w:val="28"/>
          <w:szCs w:val="28"/>
        </w:rPr>
        <w:t>混合曲线配置</w:t>
      </w:r>
      <w:r>
        <w:rPr>
          <w:rFonts w:hint="eastAsia" w:ascii="仿宋_GB2312" w:eastAsia="仿宋_GB2312"/>
          <w:color w:val="000000" w:themeColor="text1"/>
          <w:sz w:val="28"/>
          <w:szCs w:val="28"/>
        </w:rPr>
        <w:t xml:space="preserve">. </w:t>
      </w:r>
      <w:r>
        <w:rPr>
          <w:rFonts w:hint="eastAsia" w:ascii="仿宋_GB2312" w:hAnsi="宋体" w:eastAsia="仿宋_GB2312"/>
          <w:color w:val="000000" w:themeColor="text1"/>
          <w:sz w:val="28"/>
          <w:szCs w:val="28"/>
        </w:rPr>
        <w:t>直链淀粉支链淀粉混合标曲</w:t>
      </w:r>
    </w:p>
    <w:p>
      <w:pPr>
        <w:ind w:firstLine="560" w:firstLineChars="200"/>
        <w:rPr>
          <w:rFonts w:ascii="仿宋_GB2312" w:eastAsia="仿宋_GB2312"/>
          <w:color w:val="000000" w:themeColor="text1"/>
          <w:sz w:val="28"/>
          <w:szCs w:val="28"/>
        </w:rPr>
      </w:pPr>
      <w:r>
        <w:rPr>
          <w:rFonts w:hint="eastAsia" w:ascii="仿宋_GB2312" w:hAnsi="宋体" w:eastAsia="仿宋_GB2312"/>
          <w:sz w:val="28"/>
          <w:szCs w:val="28"/>
        </w:rPr>
        <w:t>为了减少直链</w:t>
      </w:r>
      <w:r>
        <w:rPr>
          <w:rFonts w:hint="eastAsia" w:ascii="仿宋_GB2312" w:hAnsi="宋体" w:eastAsia="仿宋_GB2312"/>
          <w:color w:val="000000" w:themeColor="text1"/>
          <w:sz w:val="28"/>
          <w:szCs w:val="28"/>
        </w:rPr>
        <w:t>、支链淀粉混合物显色带来的误差，检测方法使用混合标准溶液。</w:t>
      </w:r>
    </w:p>
    <w:p>
      <w:pPr>
        <w:ind w:firstLine="560" w:firstLineChars="200"/>
        <w:rPr>
          <w:rFonts w:ascii="仿宋_GB2312" w:eastAsia="仿宋_GB2312"/>
          <w:color w:val="000000" w:themeColor="text1"/>
          <w:sz w:val="28"/>
          <w:szCs w:val="28"/>
        </w:rPr>
      </w:pPr>
      <w:r>
        <w:rPr>
          <w:rFonts w:hint="eastAsia" w:ascii="仿宋_GB2312" w:hAnsi="宋体" w:eastAsia="仿宋_GB2312"/>
          <w:sz w:val="28"/>
          <w:szCs w:val="28"/>
        </w:rPr>
        <w:t>分别称取</w:t>
      </w:r>
      <w:r>
        <w:rPr>
          <w:rFonts w:hint="eastAsia" w:ascii="仿宋_GB2312" w:eastAsia="仿宋_GB2312"/>
          <w:color w:val="000000" w:themeColor="text1"/>
          <w:sz w:val="28"/>
          <w:szCs w:val="28"/>
        </w:rPr>
        <w:t>0.1000</w:t>
      </w:r>
      <w:r>
        <w:rPr>
          <w:rFonts w:hint="eastAsia" w:ascii="仿宋_GB2312" w:hAnsi="宋体" w:eastAsia="仿宋_GB2312"/>
          <w:color w:val="000000" w:themeColor="text1"/>
          <w:sz w:val="28"/>
          <w:szCs w:val="28"/>
        </w:rPr>
        <w:t>克支链、直链淀粉于</w:t>
      </w:r>
      <w:r>
        <w:rPr>
          <w:rFonts w:hint="eastAsia" w:ascii="仿宋_GB2312" w:eastAsia="仿宋_GB2312"/>
          <w:color w:val="000000" w:themeColor="text1"/>
          <w:sz w:val="28"/>
          <w:szCs w:val="28"/>
        </w:rPr>
        <w:t>100mL</w:t>
      </w:r>
      <w:r>
        <w:rPr>
          <w:rFonts w:hint="eastAsia" w:ascii="仿宋_GB2312" w:hAnsi="宋体" w:eastAsia="仿宋_GB2312"/>
          <w:color w:val="000000" w:themeColor="text1"/>
          <w:sz w:val="28"/>
          <w:szCs w:val="28"/>
        </w:rPr>
        <w:t>容量瓶中，加入</w:t>
      </w:r>
      <w:r>
        <w:rPr>
          <w:rFonts w:hint="eastAsia" w:ascii="仿宋_GB2312" w:eastAsia="仿宋_GB2312"/>
          <w:color w:val="000000" w:themeColor="text1"/>
          <w:sz w:val="28"/>
          <w:szCs w:val="28"/>
        </w:rPr>
        <w:t>1mL</w:t>
      </w:r>
      <w:r>
        <w:rPr>
          <w:rFonts w:hint="eastAsia" w:ascii="仿宋_GB2312" w:hAnsi="宋体" w:eastAsia="仿宋_GB2312"/>
          <w:color w:val="000000" w:themeColor="text1"/>
          <w:sz w:val="28"/>
          <w:szCs w:val="28"/>
        </w:rPr>
        <w:t>无水乙醇湿润样品，再加入</w:t>
      </w:r>
      <w:r>
        <w:rPr>
          <w:rFonts w:hint="eastAsia" w:ascii="仿宋_GB2312" w:eastAsia="仿宋_GB2312"/>
          <w:color w:val="000000" w:themeColor="text1"/>
          <w:sz w:val="28"/>
          <w:szCs w:val="28"/>
        </w:rPr>
        <w:t>9mL 1mol/LKOH</w:t>
      </w:r>
      <w:r>
        <w:rPr>
          <w:rFonts w:hint="eastAsia" w:ascii="仿宋_GB2312" w:hAnsi="宋体" w:eastAsia="仿宋_GB2312"/>
          <w:color w:val="000000" w:themeColor="text1"/>
          <w:sz w:val="28"/>
          <w:szCs w:val="28"/>
        </w:rPr>
        <w:t>溶液至于沸水浴中</w:t>
      </w:r>
      <w:r>
        <w:rPr>
          <w:rFonts w:hint="eastAsia" w:ascii="仿宋_GB2312" w:eastAsia="仿宋_GB2312"/>
          <w:color w:val="000000" w:themeColor="text1"/>
          <w:sz w:val="28"/>
          <w:szCs w:val="28"/>
        </w:rPr>
        <w:t>10min</w:t>
      </w:r>
      <w:r>
        <w:rPr>
          <w:rFonts w:hint="eastAsia" w:ascii="仿宋_GB2312" w:hAnsi="宋体" w:eastAsia="仿宋_GB2312"/>
          <w:color w:val="000000" w:themeColor="text1"/>
          <w:sz w:val="28"/>
          <w:szCs w:val="28"/>
        </w:rPr>
        <w:t>，迅速冷却用蒸馏水定容到</w:t>
      </w:r>
      <w:r>
        <w:rPr>
          <w:rFonts w:hint="eastAsia" w:ascii="仿宋_GB2312" w:eastAsia="仿宋_GB2312"/>
          <w:color w:val="000000" w:themeColor="text1"/>
          <w:sz w:val="28"/>
          <w:szCs w:val="28"/>
        </w:rPr>
        <w:t>100mL</w:t>
      </w:r>
      <w:r>
        <w:rPr>
          <w:rFonts w:hint="eastAsia" w:ascii="仿宋_GB2312" w:hAnsi="宋体" w:eastAsia="仿宋_GB2312"/>
          <w:color w:val="000000" w:themeColor="text1"/>
          <w:sz w:val="28"/>
          <w:szCs w:val="28"/>
        </w:rPr>
        <w:t>，此溶液浓度为</w:t>
      </w:r>
      <w:r>
        <w:rPr>
          <w:rFonts w:hint="eastAsia" w:ascii="仿宋_GB2312" w:eastAsia="仿宋_GB2312"/>
          <w:color w:val="000000" w:themeColor="text1"/>
          <w:sz w:val="28"/>
          <w:szCs w:val="28"/>
        </w:rPr>
        <w:t>1mg/mL</w:t>
      </w:r>
      <w:r>
        <w:rPr>
          <w:rFonts w:hint="eastAsia" w:ascii="仿宋_GB2312" w:hAnsi="宋体" w:eastAsia="仿宋_GB2312"/>
          <w:color w:val="000000" w:themeColor="text1"/>
          <w:sz w:val="28"/>
          <w:szCs w:val="28"/>
        </w:rPr>
        <w:t>。吸取直链标准溶液</w:t>
      </w:r>
      <w:r>
        <w:rPr>
          <w:rFonts w:hint="eastAsia" w:ascii="仿宋_GB2312" w:eastAsia="仿宋_GB2312"/>
          <w:color w:val="000000" w:themeColor="text1"/>
          <w:sz w:val="28"/>
          <w:szCs w:val="28"/>
        </w:rPr>
        <w:t>(1mg/mL )6mL</w:t>
      </w:r>
      <w:r>
        <w:rPr>
          <w:rFonts w:hint="eastAsia" w:ascii="仿宋_GB2312" w:hAnsi="宋体" w:eastAsia="仿宋_GB2312"/>
          <w:color w:val="000000" w:themeColor="text1"/>
          <w:sz w:val="28"/>
          <w:szCs w:val="28"/>
        </w:rPr>
        <w:t>，支链标准溶液</w:t>
      </w:r>
      <w:r>
        <w:rPr>
          <w:rFonts w:hint="eastAsia" w:ascii="仿宋_GB2312" w:eastAsia="仿宋_GB2312"/>
          <w:color w:val="000000" w:themeColor="text1"/>
          <w:sz w:val="28"/>
          <w:szCs w:val="28"/>
        </w:rPr>
        <w:t>(1mg/mL )24mL</w:t>
      </w:r>
      <w:r>
        <w:rPr>
          <w:rFonts w:hint="eastAsia" w:ascii="仿宋_GB2312" w:hAnsi="宋体" w:eastAsia="仿宋_GB2312"/>
          <w:color w:val="000000" w:themeColor="text1"/>
          <w:sz w:val="28"/>
          <w:szCs w:val="28"/>
        </w:rPr>
        <w:t>，混合成</w:t>
      </w:r>
      <w:r>
        <w:rPr>
          <w:rFonts w:hint="eastAsia" w:ascii="仿宋_GB2312" w:eastAsia="仿宋_GB2312"/>
          <w:color w:val="000000" w:themeColor="text1"/>
          <w:sz w:val="28"/>
          <w:szCs w:val="28"/>
        </w:rPr>
        <w:t>1:4</w:t>
      </w:r>
      <w:r>
        <w:rPr>
          <w:rFonts w:hint="eastAsia" w:ascii="仿宋_GB2312" w:hAnsi="宋体" w:eastAsia="仿宋_GB2312"/>
          <w:color w:val="000000" w:themeColor="text1"/>
          <w:sz w:val="28"/>
          <w:szCs w:val="28"/>
        </w:rPr>
        <w:t>的混合标准溶液，分别吸取混合标准溶液</w:t>
      </w:r>
      <w:r>
        <w:rPr>
          <w:rFonts w:hint="eastAsia" w:ascii="仿宋_GB2312" w:eastAsia="仿宋_GB2312"/>
          <w:color w:val="000000" w:themeColor="text1"/>
          <w:sz w:val="28"/>
          <w:szCs w:val="28"/>
        </w:rPr>
        <w:t>0,0.5,1,2,4,8mL</w:t>
      </w:r>
      <w:r>
        <w:rPr>
          <w:rFonts w:hint="eastAsia" w:ascii="仿宋_GB2312" w:hAnsi="宋体" w:eastAsia="仿宋_GB2312"/>
          <w:color w:val="000000" w:themeColor="text1"/>
          <w:sz w:val="28"/>
          <w:szCs w:val="28"/>
        </w:rPr>
        <w:t>，分别加入</w:t>
      </w:r>
      <w:r>
        <w:rPr>
          <w:rFonts w:hint="eastAsia" w:ascii="仿宋_GB2312" w:eastAsia="仿宋_GB2312"/>
          <w:color w:val="000000" w:themeColor="text1"/>
          <w:sz w:val="28"/>
          <w:szCs w:val="28"/>
        </w:rPr>
        <w:t>0.09moL/L</w:t>
      </w:r>
      <w:r>
        <w:rPr>
          <w:rFonts w:hint="eastAsia" w:ascii="仿宋_GB2312" w:hAnsi="宋体" w:eastAsia="仿宋_GB2312"/>
          <w:color w:val="000000" w:themeColor="text1"/>
          <w:sz w:val="28"/>
          <w:szCs w:val="28"/>
        </w:rPr>
        <w:t>氢氧化钾溶液</w:t>
      </w:r>
      <w:r>
        <w:rPr>
          <w:rFonts w:hint="eastAsia" w:ascii="仿宋_GB2312" w:eastAsia="仿宋_GB2312"/>
          <w:color w:val="000000" w:themeColor="text1"/>
          <w:sz w:val="28"/>
          <w:szCs w:val="28"/>
        </w:rPr>
        <w:t>8mL</w:t>
      </w:r>
      <w:r>
        <w:rPr>
          <w:rFonts w:hint="eastAsia" w:ascii="仿宋_GB2312" w:hAnsi="宋体" w:eastAsia="仿宋_GB2312"/>
          <w:color w:val="000000" w:themeColor="text1"/>
          <w:sz w:val="28"/>
          <w:szCs w:val="28"/>
        </w:rPr>
        <w:t>，</w:t>
      </w:r>
      <w:r>
        <w:rPr>
          <w:rFonts w:hint="eastAsia" w:ascii="仿宋_GB2312" w:eastAsia="仿宋_GB2312"/>
          <w:color w:val="000000" w:themeColor="text1"/>
          <w:sz w:val="28"/>
          <w:szCs w:val="28"/>
        </w:rPr>
        <w:t>7.5mL</w:t>
      </w:r>
      <w:r>
        <w:rPr>
          <w:rFonts w:hint="eastAsia" w:ascii="仿宋_GB2312" w:hAnsi="宋体" w:eastAsia="仿宋_GB2312"/>
          <w:color w:val="000000" w:themeColor="text1"/>
          <w:sz w:val="28"/>
          <w:szCs w:val="28"/>
        </w:rPr>
        <w:t>，</w:t>
      </w:r>
      <w:r>
        <w:rPr>
          <w:rFonts w:hint="eastAsia" w:ascii="仿宋_GB2312" w:eastAsia="仿宋_GB2312"/>
          <w:color w:val="000000" w:themeColor="text1"/>
          <w:sz w:val="28"/>
          <w:szCs w:val="28"/>
        </w:rPr>
        <w:t>7mL</w:t>
      </w:r>
      <w:r>
        <w:rPr>
          <w:rFonts w:hint="eastAsia" w:ascii="仿宋_GB2312" w:hAnsi="宋体" w:eastAsia="仿宋_GB2312"/>
          <w:color w:val="000000" w:themeColor="text1"/>
          <w:sz w:val="28"/>
          <w:szCs w:val="28"/>
        </w:rPr>
        <w:t>，</w:t>
      </w:r>
      <w:r>
        <w:rPr>
          <w:rFonts w:hint="eastAsia" w:ascii="仿宋_GB2312" w:eastAsia="仿宋_GB2312"/>
          <w:color w:val="000000" w:themeColor="text1"/>
          <w:sz w:val="28"/>
          <w:szCs w:val="28"/>
        </w:rPr>
        <w:t>6mL</w:t>
      </w:r>
      <w:r>
        <w:rPr>
          <w:rFonts w:hint="eastAsia" w:ascii="仿宋_GB2312" w:hAnsi="宋体" w:eastAsia="仿宋_GB2312"/>
          <w:color w:val="000000" w:themeColor="text1"/>
          <w:sz w:val="28"/>
          <w:szCs w:val="28"/>
        </w:rPr>
        <w:t>，</w:t>
      </w:r>
      <w:r>
        <w:rPr>
          <w:rFonts w:hint="eastAsia" w:ascii="仿宋_GB2312" w:eastAsia="仿宋_GB2312"/>
          <w:color w:val="000000" w:themeColor="text1"/>
          <w:sz w:val="28"/>
          <w:szCs w:val="28"/>
        </w:rPr>
        <w:t>4mL</w:t>
      </w:r>
      <w:r>
        <w:rPr>
          <w:rFonts w:hint="eastAsia" w:ascii="仿宋_GB2312" w:hAnsi="宋体" w:eastAsia="仿宋_GB2312"/>
          <w:color w:val="000000" w:themeColor="text1"/>
          <w:sz w:val="28"/>
          <w:szCs w:val="28"/>
        </w:rPr>
        <w:t>，</w:t>
      </w:r>
      <w:r>
        <w:rPr>
          <w:rFonts w:hint="eastAsia" w:ascii="仿宋_GB2312" w:eastAsia="仿宋_GB2312"/>
          <w:color w:val="000000" w:themeColor="text1"/>
          <w:sz w:val="28"/>
          <w:szCs w:val="28"/>
        </w:rPr>
        <w:t>0mL</w:t>
      </w:r>
      <w:r>
        <w:rPr>
          <w:rFonts w:hint="eastAsia" w:ascii="仿宋_GB2312" w:hAnsi="宋体" w:eastAsia="仿宋_GB2312"/>
          <w:color w:val="000000" w:themeColor="text1"/>
          <w:sz w:val="28"/>
          <w:szCs w:val="28"/>
        </w:rPr>
        <w:t>及</w:t>
      </w:r>
      <w:r>
        <w:rPr>
          <w:rFonts w:hint="eastAsia" w:ascii="仿宋_GB2312" w:eastAsia="仿宋_GB2312"/>
          <w:color w:val="000000" w:themeColor="text1"/>
          <w:sz w:val="28"/>
          <w:szCs w:val="28"/>
        </w:rPr>
        <w:t>2mL1mol/L</w:t>
      </w:r>
      <w:r>
        <w:rPr>
          <w:rFonts w:hint="eastAsia" w:ascii="仿宋_GB2312" w:hAnsi="宋体" w:eastAsia="仿宋_GB2312"/>
          <w:color w:val="000000" w:themeColor="text1"/>
          <w:sz w:val="28"/>
          <w:szCs w:val="28"/>
        </w:rPr>
        <w:t>乙酸溶液，</w:t>
      </w:r>
      <w:r>
        <w:rPr>
          <w:rFonts w:hint="eastAsia" w:ascii="仿宋_GB2312" w:eastAsia="仿宋_GB2312"/>
          <w:color w:val="000000" w:themeColor="text1"/>
          <w:sz w:val="28"/>
          <w:szCs w:val="28"/>
        </w:rPr>
        <w:t>1mL</w:t>
      </w:r>
      <w:r>
        <w:rPr>
          <w:rFonts w:hint="eastAsia" w:ascii="仿宋_GB2312" w:hAnsi="宋体" w:eastAsia="仿宋_GB2312"/>
          <w:color w:val="000000" w:themeColor="text1"/>
          <w:sz w:val="28"/>
          <w:szCs w:val="28"/>
        </w:rPr>
        <w:t>碘试剂，定容到</w:t>
      </w:r>
      <w:r>
        <w:rPr>
          <w:rFonts w:hint="eastAsia" w:ascii="仿宋_GB2312" w:eastAsia="仿宋_GB2312"/>
          <w:color w:val="000000" w:themeColor="text1"/>
          <w:sz w:val="28"/>
          <w:szCs w:val="28"/>
        </w:rPr>
        <w:t>50mL</w:t>
      </w:r>
      <w:r>
        <w:rPr>
          <w:rFonts w:hint="eastAsia" w:ascii="仿宋_GB2312" w:hAnsi="宋体" w:eastAsia="仿宋_GB2312"/>
          <w:color w:val="000000" w:themeColor="text1"/>
          <w:sz w:val="28"/>
          <w:szCs w:val="28"/>
        </w:rPr>
        <w:t>，显色</w:t>
      </w:r>
      <w:r>
        <w:rPr>
          <w:rFonts w:hint="eastAsia" w:ascii="仿宋_GB2312" w:eastAsia="仿宋_GB2312"/>
          <w:color w:val="000000" w:themeColor="text1"/>
          <w:sz w:val="28"/>
          <w:szCs w:val="28"/>
        </w:rPr>
        <w:t>30min</w:t>
      </w:r>
      <w:r>
        <w:rPr>
          <w:rFonts w:hint="eastAsia" w:ascii="仿宋_GB2312" w:hAnsi="宋体" w:eastAsia="仿宋_GB2312"/>
          <w:color w:val="000000" w:themeColor="text1"/>
          <w:sz w:val="28"/>
          <w:szCs w:val="28"/>
        </w:rPr>
        <w:t>，以试剂空白为空白在处扫描</w:t>
      </w:r>
      <w:r>
        <w:rPr>
          <w:rFonts w:hint="eastAsia" w:ascii="仿宋_GB2312" w:eastAsia="仿宋_GB2312"/>
          <w:color w:val="000000" w:themeColor="text1"/>
          <w:sz w:val="28"/>
          <w:szCs w:val="28"/>
        </w:rPr>
        <w:t>535nm-757nm,630nm-427nm</w:t>
      </w:r>
      <w:r>
        <w:rPr>
          <w:rFonts w:hint="eastAsia" w:ascii="仿宋_GB2312" w:hAnsi="宋体" w:eastAsia="仿宋_GB2312"/>
          <w:color w:val="000000" w:themeColor="text1"/>
          <w:sz w:val="28"/>
          <w:szCs w:val="28"/>
        </w:rPr>
        <w:t>处吸光度，吸光值分别为</w:t>
      </w:r>
      <w:bookmarkStart w:id="1" w:name="_Hlk71447575"/>
      <w:r>
        <w:rPr>
          <w:rFonts w:hint="eastAsia" w:ascii="仿宋_GB2312" w:eastAsia="仿宋_GB2312"/>
          <w:color w:val="000000" w:themeColor="text1"/>
          <w:sz w:val="28"/>
          <w:szCs w:val="28"/>
        </w:rPr>
        <w:t>A1,A1</w:t>
      </w:r>
      <w:r>
        <w:rPr>
          <w:rFonts w:hint="eastAsia" w:eastAsia="仿宋_GB2312"/>
          <w:color w:val="000000" w:themeColor="text1"/>
          <w:sz w:val="28"/>
          <w:szCs w:val="28"/>
        </w:rPr>
        <w:t>ˊ</w:t>
      </w:r>
      <w:bookmarkEnd w:id="1"/>
      <w:r>
        <w:rPr>
          <w:rFonts w:hint="eastAsia" w:ascii="仿宋_GB2312" w:eastAsia="仿宋_GB2312"/>
          <w:color w:val="000000" w:themeColor="text1"/>
          <w:sz w:val="28"/>
          <w:szCs w:val="28"/>
        </w:rPr>
        <w:t>,</w:t>
      </w:r>
      <w:bookmarkStart w:id="2" w:name="_Hlk71447611"/>
      <w:r>
        <w:rPr>
          <w:rFonts w:hint="eastAsia" w:ascii="仿宋_GB2312" w:eastAsia="仿宋_GB2312"/>
          <w:color w:val="000000" w:themeColor="text1"/>
          <w:sz w:val="28"/>
          <w:szCs w:val="28"/>
        </w:rPr>
        <w:t>A2,A2</w:t>
      </w:r>
      <w:bookmarkEnd w:id="2"/>
      <w:r>
        <w:rPr>
          <w:rFonts w:hint="eastAsia" w:eastAsia="仿宋_GB2312"/>
          <w:color w:val="000000" w:themeColor="text1"/>
          <w:sz w:val="28"/>
          <w:szCs w:val="28"/>
        </w:rPr>
        <w:t>ˊ</w:t>
      </w:r>
      <w:r>
        <w:rPr>
          <w:rFonts w:hint="eastAsia" w:ascii="仿宋_GB2312" w:eastAsia="仿宋_GB2312"/>
          <w:color w:val="000000" w:themeColor="text1"/>
          <w:sz w:val="28"/>
          <w:szCs w:val="28"/>
        </w:rPr>
        <w:t>,ΔA</w:t>
      </w:r>
      <w:r>
        <w:rPr>
          <w:rFonts w:hint="eastAsia" w:ascii="仿宋_GB2312" w:hAnsi="宋体" w:eastAsia="仿宋_GB2312"/>
          <w:color w:val="000000" w:themeColor="text1"/>
          <w:sz w:val="28"/>
          <w:szCs w:val="28"/>
        </w:rPr>
        <w:t>支</w:t>
      </w:r>
      <w:r>
        <w:rPr>
          <w:rFonts w:hint="eastAsia" w:ascii="仿宋_GB2312" w:eastAsia="仿宋_GB2312"/>
          <w:color w:val="000000" w:themeColor="text1"/>
          <w:sz w:val="28"/>
          <w:szCs w:val="28"/>
        </w:rPr>
        <w:t>= A1-A1</w:t>
      </w:r>
      <w:r>
        <w:rPr>
          <w:rFonts w:hint="eastAsia" w:eastAsia="仿宋_GB2312"/>
          <w:color w:val="000000" w:themeColor="text1"/>
          <w:sz w:val="28"/>
          <w:szCs w:val="28"/>
        </w:rPr>
        <w:t>ˊ</w:t>
      </w:r>
      <w:r>
        <w:rPr>
          <w:rFonts w:hint="eastAsia" w:ascii="仿宋_GB2312" w:hAnsi="宋体" w:eastAsia="仿宋_GB2312"/>
          <w:color w:val="000000" w:themeColor="text1"/>
          <w:sz w:val="28"/>
          <w:szCs w:val="28"/>
        </w:rPr>
        <w:t>，</w:t>
      </w:r>
      <w:r>
        <w:rPr>
          <w:rFonts w:hint="eastAsia" w:ascii="仿宋_GB2312" w:eastAsia="仿宋_GB2312"/>
          <w:color w:val="000000" w:themeColor="text1"/>
          <w:sz w:val="28"/>
          <w:szCs w:val="28"/>
        </w:rPr>
        <w:t>ΔA</w:t>
      </w:r>
      <w:r>
        <w:rPr>
          <w:rFonts w:hint="eastAsia" w:ascii="仿宋_GB2312" w:hAnsi="宋体" w:eastAsia="仿宋_GB2312"/>
          <w:color w:val="000000" w:themeColor="text1"/>
          <w:sz w:val="28"/>
          <w:szCs w:val="28"/>
        </w:rPr>
        <w:t>直</w:t>
      </w:r>
      <w:r>
        <w:rPr>
          <w:rFonts w:hint="eastAsia" w:ascii="仿宋_GB2312" w:eastAsia="仿宋_GB2312"/>
          <w:color w:val="000000" w:themeColor="text1"/>
          <w:sz w:val="28"/>
          <w:szCs w:val="28"/>
        </w:rPr>
        <w:t>= A2-A2</w:t>
      </w:r>
      <w:r>
        <w:rPr>
          <w:rFonts w:hint="eastAsia" w:eastAsia="仿宋_GB2312"/>
          <w:color w:val="000000" w:themeColor="text1"/>
          <w:sz w:val="28"/>
          <w:szCs w:val="28"/>
        </w:rPr>
        <w:t>ˊ</w:t>
      </w:r>
      <w:r>
        <w:rPr>
          <w:rFonts w:hint="eastAsia" w:ascii="仿宋_GB2312" w:hAnsi="宋体" w:eastAsia="仿宋_GB2312"/>
          <w:color w:val="000000" w:themeColor="text1"/>
          <w:sz w:val="28"/>
          <w:szCs w:val="28"/>
        </w:rPr>
        <w:t>，分别以</w:t>
      </w:r>
      <w:r>
        <w:rPr>
          <w:rFonts w:hint="eastAsia" w:ascii="仿宋_GB2312" w:eastAsia="仿宋_GB2312"/>
          <w:color w:val="000000" w:themeColor="text1"/>
          <w:sz w:val="28"/>
          <w:szCs w:val="28"/>
        </w:rPr>
        <w:t>ΔA</w:t>
      </w:r>
      <w:r>
        <w:rPr>
          <w:rFonts w:hint="eastAsia" w:ascii="仿宋_GB2312" w:hAnsi="宋体" w:eastAsia="仿宋_GB2312"/>
          <w:color w:val="000000" w:themeColor="text1"/>
          <w:sz w:val="28"/>
          <w:szCs w:val="28"/>
        </w:rPr>
        <w:t>支、</w:t>
      </w:r>
      <w:r>
        <w:rPr>
          <w:rFonts w:hint="eastAsia" w:ascii="仿宋_GB2312" w:eastAsia="仿宋_GB2312"/>
          <w:color w:val="000000" w:themeColor="text1"/>
          <w:sz w:val="28"/>
          <w:szCs w:val="28"/>
        </w:rPr>
        <w:t>ΔA</w:t>
      </w:r>
      <w:r>
        <w:rPr>
          <w:rFonts w:hint="eastAsia" w:ascii="仿宋_GB2312" w:hAnsi="宋体" w:eastAsia="仿宋_GB2312"/>
          <w:color w:val="000000" w:themeColor="text1"/>
          <w:sz w:val="28"/>
          <w:szCs w:val="28"/>
        </w:rPr>
        <w:t>直为纵坐标，支链淀粉和直链淀粉含量（</w:t>
      </w:r>
      <w:r>
        <w:rPr>
          <w:rFonts w:hint="eastAsia" w:ascii="仿宋_GB2312" w:eastAsia="仿宋_GB2312"/>
          <w:color w:val="000000" w:themeColor="text1"/>
          <w:sz w:val="28"/>
          <w:szCs w:val="28"/>
        </w:rPr>
        <w:t>mg/L</w:t>
      </w:r>
      <w:r>
        <w:rPr>
          <w:rFonts w:hint="eastAsia" w:ascii="仿宋_GB2312" w:hAnsi="宋体" w:eastAsia="仿宋_GB2312"/>
          <w:color w:val="000000" w:themeColor="text1"/>
          <w:sz w:val="28"/>
          <w:szCs w:val="28"/>
        </w:rPr>
        <w:t>）为横坐标，绘制双波长支链、直链淀粉标准曲线，回归方程为：支链回归方程为</w:t>
      </w:r>
      <w:r>
        <w:rPr>
          <w:rFonts w:hint="eastAsia" w:ascii="仿宋_GB2312" w:eastAsia="仿宋_GB2312"/>
          <w:color w:val="000000" w:themeColor="text1"/>
          <w:sz w:val="28"/>
          <w:szCs w:val="28"/>
        </w:rPr>
        <w:t>Y=0.0245+0.0036X</w:t>
      </w:r>
      <w:r>
        <w:rPr>
          <w:rFonts w:hint="eastAsia" w:ascii="仿宋_GB2312" w:hAnsi="宋体" w:eastAsia="仿宋_GB2312"/>
          <w:color w:val="000000" w:themeColor="text1"/>
          <w:sz w:val="28"/>
          <w:szCs w:val="28"/>
        </w:rPr>
        <w:t>；直链回归方程为</w:t>
      </w:r>
      <w:r>
        <w:rPr>
          <w:rFonts w:hint="eastAsia" w:ascii="仿宋_GB2312" w:eastAsia="仿宋_GB2312"/>
          <w:color w:val="000000" w:themeColor="text1"/>
          <w:sz w:val="28"/>
          <w:szCs w:val="28"/>
        </w:rPr>
        <w:t>Y=0.0001+0.0258X</w:t>
      </w:r>
      <w:r>
        <w:rPr>
          <w:rFonts w:hint="eastAsia" w:ascii="仿宋_GB2312" w:hAnsi="宋体" w:eastAsia="仿宋_GB2312"/>
          <w:color w:val="000000" w:themeColor="text1"/>
          <w:sz w:val="28"/>
          <w:szCs w:val="28"/>
        </w:rPr>
        <w:t>。由直链淀粉和支链淀粉标准曲线（图</w:t>
      </w:r>
      <w:r>
        <w:rPr>
          <w:rFonts w:hint="eastAsia" w:ascii="仿宋_GB2312" w:eastAsia="仿宋_GB2312"/>
          <w:color w:val="000000" w:themeColor="text1"/>
          <w:sz w:val="28"/>
          <w:szCs w:val="28"/>
        </w:rPr>
        <w:t>2</w:t>
      </w:r>
      <w:r>
        <w:rPr>
          <w:rFonts w:hint="eastAsia" w:ascii="仿宋_GB2312" w:hAnsi="宋体" w:eastAsia="仿宋_GB2312"/>
          <w:color w:val="000000" w:themeColor="text1"/>
          <w:sz w:val="28"/>
          <w:szCs w:val="28"/>
        </w:rPr>
        <w:t>，图</w:t>
      </w:r>
      <w:r>
        <w:rPr>
          <w:rFonts w:hint="eastAsia" w:ascii="仿宋_GB2312" w:eastAsia="仿宋_GB2312"/>
          <w:color w:val="000000" w:themeColor="text1"/>
          <w:sz w:val="28"/>
          <w:szCs w:val="28"/>
        </w:rPr>
        <w:t>3</w:t>
      </w:r>
      <w:r>
        <w:rPr>
          <w:rFonts w:hint="eastAsia" w:ascii="仿宋_GB2312" w:hAnsi="宋体" w:eastAsia="仿宋_GB2312"/>
          <w:color w:val="000000" w:themeColor="text1"/>
          <w:sz w:val="28"/>
          <w:szCs w:val="28"/>
        </w:rPr>
        <w:t>）可以看出，直链淀粉和支链淀粉与双波长的差值的相关系数分别为</w:t>
      </w:r>
      <w:r>
        <w:rPr>
          <w:rFonts w:hint="eastAsia" w:ascii="仿宋_GB2312" w:eastAsia="仿宋_GB2312"/>
          <w:color w:val="000000" w:themeColor="text1"/>
          <w:sz w:val="28"/>
          <w:szCs w:val="28"/>
        </w:rPr>
        <w:t xml:space="preserve"> 0.9998 </w:t>
      </w:r>
      <w:r>
        <w:rPr>
          <w:rFonts w:hint="eastAsia" w:ascii="仿宋_GB2312" w:hAnsi="宋体" w:eastAsia="仿宋_GB2312"/>
          <w:color w:val="000000" w:themeColor="text1"/>
          <w:sz w:val="28"/>
          <w:szCs w:val="28"/>
        </w:rPr>
        <w:t>和</w:t>
      </w:r>
      <w:r>
        <w:rPr>
          <w:rFonts w:hint="eastAsia" w:ascii="仿宋_GB2312" w:eastAsia="仿宋_GB2312"/>
          <w:color w:val="000000" w:themeColor="text1"/>
          <w:sz w:val="28"/>
          <w:szCs w:val="28"/>
        </w:rPr>
        <w:t xml:space="preserve"> 0.9963</w:t>
      </w:r>
      <w:r>
        <w:rPr>
          <w:rFonts w:hint="eastAsia" w:ascii="仿宋_GB2312" w:hAnsi="宋体" w:eastAsia="仿宋_GB2312"/>
          <w:color w:val="000000" w:themeColor="text1"/>
          <w:sz w:val="28"/>
          <w:szCs w:val="28"/>
        </w:rPr>
        <w:t>，都达到了极显著水平，说明用双波长法绘制的标准曲线线性非常好。</w:t>
      </w:r>
    </w:p>
    <w:p>
      <w:pPr>
        <w:autoSpaceDE w:val="0"/>
        <w:autoSpaceDN w:val="0"/>
        <w:spacing w:line="360" w:lineRule="auto"/>
        <w:ind w:firstLine="405"/>
        <w:jc w:val="center"/>
        <w:rPr>
          <w:rFonts w:ascii="仿宋_GB2312" w:eastAsia="仿宋_GB2312"/>
          <w:color w:val="000000" w:themeColor="text1"/>
          <w:sz w:val="28"/>
          <w:szCs w:val="28"/>
        </w:rPr>
      </w:pPr>
      <w:r>
        <w:rPr>
          <w:rFonts w:hint="eastAsia" w:ascii="仿宋_GB2312" w:hAnsi="宋体" w:eastAsia="仿宋_GB2312"/>
          <w:color w:val="000000" w:themeColor="text1"/>
          <w:sz w:val="28"/>
          <w:szCs w:val="28"/>
        </w:rPr>
        <w:t>表</w:t>
      </w:r>
      <w:r>
        <w:rPr>
          <w:rFonts w:hint="eastAsia" w:ascii="仿宋_GB2312" w:eastAsia="仿宋_GB2312"/>
          <w:color w:val="000000" w:themeColor="text1"/>
          <w:sz w:val="28"/>
          <w:szCs w:val="28"/>
        </w:rPr>
        <w:t>2</w:t>
      </w:r>
      <w:r>
        <w:rPr>
          <w:rFonts w:hint="eastAsia" w:ascii="仿宋_GB2312" w:hAnsi="宋体" w:eastAsia="仿宋_GB2312"/>
          <w:color w:val="000000" w:themeColor="text1"/>
          <w:sz w:val="28"/>
          <w:szCs w:val="28"/>
        </w:rPr>
        <w:t>直链淀粉，支链淀粉混合标准溶液的浓度及相应的波长吸光度</w:t>
      </w:r>
    </w:p>
    <w:tbl>
      <w:tblPr>
        <w:tblStyle w:val="10"/>
        <w:tblW w:w="5000" w:type="pct"/>
        <w:jc w:val="center"/>
        <w:tblLayout w:type="autofit"/>
        <w:tblCellMar>
          <w:top w:w="0" w:type="dxa"/>
          <w:left w:w="108" w:type="dxa"/>
          <w:bottom w:w="0" w:type="dxa"/>
          <w:right w:w="108" w:type="dxa"/>
        </w:tblCellMar>
      </w:tblPr>
      <w:tblGrid>
        <w:gridCol w:w="2675"/>
        <w:gridCol w:w="1488"/>
        <w:gridCol w:w="1511"/>
        <w:gridCol w:w="1678"/>
        <w:gridCol w:w="1936"/>
      </w:tblGrid>
      <w:tr>
        <w:tblPrEx>
          <w:tblCellMar>
            <w:top w:w="0" w:type="dxa"/>
            <w:left w:w="108" w:type="dxa"/>
            <w:bottom w:w="0" w:type="dxa"/>
            <w:right w:w="108" w:type="dxa"/>
          </w:tblCellMar>
        </w:tblPrEx>
        <w:trPr>
          <w:trHeight w:val="774" w:hRule="atLeast"/>
          <w:jc w:val="center"/>
        </w:trPr>
        <w:tc>
          <w:tcPr>
            <w:tcW w:w="1440" w:type="pct"/>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720" w:firstLineChars="300"/>
              <w:jc w:val="left"/>
              <w:rPr>
                <w:color w:val="000000" w:themeColor="text1"/>
                <w:sz w:val="24"/>
              </w:rPr>
            </w:pPr>
            <w:r>
              <w:rPr>
                <w:color w:val="000000" w:themeColor="text1"/>
                <w:sz w:val="24"/>
              </w:rPr>
              <w:pict>
                <v:shape id="_x0000_s1039" o:spid="_x0000_s1039" o:spt="32" type="#_x0000_t32" style="position:absolute;left:0pt;margin-left:-4.65pt;margin-top:0.2pt;height:38.25pt;width:111.5pt;z-index:251666432;mso-width-relative:page;mso-height-relative:page;" o:connectortype="straight" filled="f" coordsize="21600,21600">
                  <v:path arrowok="t"/>
                  <v:fill on="f" focussize="0,0"/>
                  <v:stroke/>
                  <v:imagedata o:title=""/>
                  <o:lock v:ext="edit"/>
                </v:shape>
              </w:pict>
            </w:r>
            <w:r>
              <w:rPr>
                <w:rFonts w:hAnsi="宋体"/>
                <w:color w:val="000000" w:themeColor="text1"/>
                <w:sz w:val="24"/>
              </w:rPr>
              <w:t>吸光度</w:t>
            </w:r>
          </w:p>
          <w:p>
            <w:pPr>
              <w:jc w:val="left"/>
              <w:rPr>
                <w:color w:val="000000" w:themeColor="text1"/>
                <w:sz w:val="24"/>
              </w:rPr>
            </w:pPr>
            <w:r>
              <w:rPr>
                <w:rFonts w:hAnsi="宋体"/>
                <w:color w:val="000000" w:themeColor="text1"/>
                <w:sz w:val="24"/>
              </w:rPr>
              <w:t>浓度</w:t>
            </w:r>
          </w:p>
        </w:tc>
        <w:tc>
          <w:tcPr>
            <w:tcW w:w="801"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color w:val="000000" w:themeColor="text1"/>
                <w:sz w:val="24"/>
              </w:rPr>
            </w:pPr>
            <w:r>
              <w:rPr>
                <w:color w:val="000000" w:themeColor="text1"/>
                <w:sz w:val="24"/>
              </w:rPr>
              <w:t>A2ˊ</w:t>
            </w:r>
          </w:p>
          <w:p>
            <w:pPr>
              <w:jc w:val="center"/>
              <w:rPr>
                <w:color w:val="000000" w:themeColor="text1"/>
                <w:sz w:val="24"/>
              </w:rPr>
            </w:pPr>
            <w:r>
              <w:rPr>
                <w:color w:val="000000" w:themeColor="text1"/>
                <w:sz w:val="24"/>
              </w:rPr>
              <w:t>427nm</w:t>
            </w:r>
          </w:p>
        </w:tc>
        <w:tc>
          <w:tcPr>
            <w:tcW w:w="813"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color w:val="000000" w:themeColor="text1"/>
                <w:sz w:val="24"/>
              </w:rPr>
            </w:pPr>
            <w:r>
              <w:rPr>
                <w:color w:val="000000" w:themeColor="text1"/>
                <w:sz w:val="24"/>
              </w:rPr>
              <w:t>A1</w:t>
            </w:r>
          </w:p>
          <w:p>
            <w:pPr>
              <w:jc w:val="center"/>
              <w:rPr>
                <w:color w:val="000000" w:themeColor="text1"/>
                <w:sz w:val="24"/>
              </w:rPr>
            </w:pPr>
            <w:r>
              <w:rPr>
                <w:color w:val="000000" w:themeColor="text1"/>
                <w:sz w:val="24"/>
              </w:rPr>
              <w:t>535nm</w:t>
            </w:r>
          </w:p>
        </w:tc>
        <w:tc>
          <w:tcPr>
            <w:tcW w:w="903"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color w:val="000000" w:themeColor="text1"/>
                <w:sz w:val="24"/>
              </w:rPr>
            </w:pPr>
            <w:r>
              <w:rPr>
                <w:color w:val="000000" w:themeColor="text1"/>
                <w:sz w:val="24"/>
              </w:rPr>
              <w:t>A2</w:t>
            </w:r>
          </w:p>
          <w:p>
            <w:pPr>
              <w:jc w:val="center"/>
              <w:rPr>
                <w:color w:val="000000" w:themeColor="text1"/>
                <w:sz w:val="24"/>
              </w:rPr>
            </w:pPr>
            <w:r>
              <w:rPr>
                <w:color w:val="000000" w:themeColor="text1"/>
                <w:sz w:val="24"/>
              </w:rPr>
              <w:t>630nm</w:t>
            </w:r>
          </w:p>
        </w:tc>
        <w:tc>
          <w:tcPr>
            <w:tcW w:w="1042"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color w:val="000000" w:themeColor="text1"/>
                <w:sz w:val="24"/>
              </w:rPr>
            </w:pPr>
            <w:r>
              <w:rPr>
                <w:color w:val="000000" w:themeColor="text1"/>
                <w:sz w:val="24"/>
              </w:rPr>
              <w:t>A1ˊ</w:t>
            </w:r>
          </w:p>
          <w:p>
            <w:pPr>
              <w:jc w:val="center"/>
              <w:rPr>
                <w:color w:val="000000" w:themeColor="text1"/>
                <w:sz w:val="24"/>
              </w:rPr>
            </w:pPr>
            <w:r>
              <w:rPr>
                <w:color w:val="000000" w:themeColor="text1"/>
                <w:sz w:val="24"/>
              </w:rPr>
              <w:t>757nm</w:t>
            </w:r>
          </w:p>
        </w:tc>
      </w:tr>
      <w:tr>
        <w:tblPrEx>
          <w:tblCellMar>
            <w:top w:w="0" w:type="dxa"/>
            <w:left w:w="108" w:type="dxa"/>
            <w:bottom w:w="0" w:type="dxa"/>
            <w:right w:w="108" w:type="dxa"/>
          </w:tblCellMar>
        </w:tblPrEx>
        <w:trPr>
          <w:trHeight w:val="285" w:hRule="atLeast"/>
          <w:jc w:val="center"/>
        </w:trPr>
        <w:tc>
          <w:tcPr>
            <w:tcW w:w="1440"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color w:val="000000" w:themeColor="text1"/>
                <w:sz w:val="24"/>
              </w:rPr>
            </w:pPr>
            <w:r>
              <w:rPr>
                <w:rFonts w:hAnsi="宋体"/>
                <w:color w:val="000000" w:themeColor="text1"/>
                <w:sz w:val="24"/>
              </w:rPr>
              <w:t>直链淀粉</w:t>
            </w:r>
            <w:r>
              <w:rPr>
                <w:color w:val="000000" w:themeColor="text1"/>
                <w:sz w:val="24"/>
              </w:rPr>
              <w:t>2mg/L</w:t>
            </w:r>
          </w:p>
          <w:p>
            <w:pPr>
              <w:jc w:val="center"/>
              <w:rPr>
                <w:color w:val="000000" w:themeColor="text1"/>
                <w:sz w:val="24"/>
              </w:rPr>
            </w:pPr>
            <w:r>
              <w:rPr>
                <w:rFonts w:hAnsi="宋体"/>
                <w:color w:val="000000" w:themeColor="text1"/>
                <w:sz w:val="24"/>
              </w:rPr>
              <w:t>支链淀粉</w:t>
            </w:r>
            <w:r>
              <w:rPr>
                <w:color w:val="000000" w:themeColor="text1"/>
                <w:sz w:val="24"/>
              </w:rPr>
              <w:t>8mg/L</w:t>
            </w:r>
          </w:p>
        </w:tc>
        <w:tc>
          <w:tcPr>
            <w:tcW w:w="801"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color w:val="000000" w:themeColor="text1"/>
                <w:sz w:val="24"/>
              </w:rPr>
            </w:pPr>
            <w:r>
              <w:rPr>
                <w:color w:val="000000" w:themeColor="text1"/>
                <w:sz w:val="24"/>
              </w:rPr>
              <w:t>0.0323</w:t>
            </w:r>
          </w:p>
        </w:tc>
        <w:tc>
          <w:tcPr>
            <w:tcW w:w="813"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color w:val="000000" w:themeColor="text1"/>
                <w:sz w:val="24"/>
              </w:rPr>
            </w:pPr>
            <w:r>
              <w:rPr>
                <w:color w:val="000000" w:themeColor="text1"/>
                <w:sz w:val="24"/>
              </w:rPr>
              <w:t>0.0794</w:t>
            </w:r>
          </w:p>
        </w:tc>
        <w:tc>
          <w:tcPr>
            <w:tcW w:w="903"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color w:val="000000" w:themeColor="text1"/>
                <w:sz w:val="24"/>
              </w:rPr>
            </w:pPr>
            <w:r>
              <w:rPr>
                <w:color w:val="000000" w:themeColor="text1"/>
                <w:sz w:val="24"/>
              </w:rPr>
              <w:t>0.0829</w:t>
            </w:r>
          </w:p>
        </w:tc>
        <w:tc>
          <w:tcPr>
            <w:tcW w:w="1042"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color w:val="000000" w:themeColor="text1"/>
                <w:sz w:val="24"/>
              </w:rPr>
            </w:pPr>
            <w:r>
              <w:rPr>
                <w:color w:val="000000" w:themeColor="text1"/>
                <w:sz w:val="24"/>
              </w:rPr>
              <w:t>0.0382</w:t>
            </w:r>
          </w:p>
        </w:tc>
      </w:tr>
      <w:tr>
        <w:tblPrEx>
          <w:tblCellMar>
            <w:top w:w="0" w:type="dxa"/>
            <w:left w:w="108" w:type="dxa"/>
            <w:bottom w:w="0" w:type="dxa"/>
            <w:right w:w="108" w:type="dxa"/>
          </w:tblCellMar>
        </w:tblPrEx>
        <w:trPr>
          <w:trHeight w:val="285" w:hRule="atLeast"/>
          <w:jc w:val="center"/>
        </w:trPr>
        <w:tc>
          <w:tcPr>
            <w:tcW w:w="1440"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color w:val="000000" w:themeColor="text1"/>
                <w:sz w:val="24"/>
              </w:rPr>
            </w:pPr>
            <w:r>
              <w:rPr>
                <w:rFonts w:hAnsi="宋体"/>
                <w:color w:val="000000" w:themeColor="text1"/>
                <w:sz w:val="24"/>
              </w:rPr>
              <w:t>直链淀粉</w:t>
            </w:r>
            <w:r>
              <w:rPr>
                <w:color w:val="000000" w:themeColor="text1"/>
                <w:sz w:val="24"/>
              </w:rPr>
              <w:t>4mg/L</w:t>
            </w:r>
          </w:p>
          <w:p>
            <w:pPr>
              <w:jc w:val="center"/>
              <w:rPr>
                <w:color w:val="000000" w:themeColor="text1"/>
                <w:sz w:val="24"/>
              </w:rPr>
            </w:pPr>
            <w:r>
              <w:rPr>
                <w:rFonts w:hAnsi="宋体"/>
                <w:color w:val="000000" w:themeColor="text1"/>
                <w:sz w:val="24"/>
              </w:rPr>
              <w:t>支链淀粉</w:t>
            </w:r>
            <w:r>
              <w:rPr>
                <w:color w:val="000000" w:themeColor="text1"/>
                <w:sz w:val="24"/>
              </w:rPr>
              <w:t>16mg/L</w:t>
            </w:r>
          </w:p>
        </w:tc>
        <w:tc>
          <w:tcPr>
            <w:tcW w:w="801"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color w:val="000000" w:themeColor="text1"/>
                <w:sz w:val="24"/>
              </w:rPr>
            </w:pPr>
            <w:r>
              <w:rPr>
                <w:color w:val="000000" w:themeColor="text1"/>
                <w:sz w:val="24"/>
              </w:rPr>
              <w:t>0.0673</w:t>
            </w:r>
          </w:p>
        </w:tc>
        <w:tc>
          <w:tcPr>
            <w:tcW w:w="813"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color w:val="000000" w:themeColor="text1"/>
                <w:sz w:val="24"/>
              </w:rPr>
            </w:pPr>
            <w:r>
              <w:rPr>
                <w:color w:val="000000" w:themeColor="text1"/>
                <w:sz w:val="24"/>
              </w:rPr>
              <w:t>0.1566</w:t>
            </w:r>
          </w:p>
        </w:tc>
        <w:tc>
          <w:tcPr>
            <w:tcW w:w="903"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color w:val="000000" w:themeColor="text1"/>
                <w:sz w:val="24"/>
              </w:rPr>
            </w:pPr>
            <w:r>
              <w:rPr>
                <w:color w:val="000000" w:themeColor="text1"/>
                <w:sz w:val="24"/>
              </w:rPr>
              <w:t>0.1656</w:t>
            </w:r>
          </w:p>
        </w:tc>
        <w:tc>
          <w:tcPr>
            <w:tcW w:w="1042"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color w:val="000000" w:themeColor="text1"/>
                <w:sz w:val="24"/>
              </w:rPr>
            </w:pPr>
            <w:r>
              <w:rPr>
                <w:color w:val="000000" w:themeColor="text1"/>
                <w:sz w:val="24"/>
              </w:rPr>
              <w:t>0.0762</w:t>
            </w:r>
          </w:p>
        </w:tc>
      </w:tr>
      <w:tr>
        <w:tblPrEx>
          <w:tblCellMar>
            <w:top w:w="0" w:type="dxa"/>
            <w:left w:w="108" w:type="dxa"/>
            <w:bottom w:w="0" w:type="dxa"/>
            <w:right w:w="108" w:type="dxa"/>
          </w:tblCellMar>
        </w:tblPrEx>
        <w:trPr>
          <w:trHeight w:val="285" w:hRule="atLeast"/>
          <w:jc w:val="center"/>
        </w:trPr>
        <w:tc>
          <w:tcPr>
            <w:tcW w:w="1440"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color w:val="000000" w:themeColor="text1"/>
                <w:sz w:val="24"/>
              </w:rPr>
            </w:pPr>
            <w:r>
              <w:rPr>
                <w:rFonts w:hAnsi="宋体"/>
                <w:color w:val="000000" w:themeColor="text1"/>
                <w:sz w:val="24"/>
              </w:rPr>
              <w:t>直链淀粉</w:t>
            </w:r>
            <w:r>
              <w:rPr>
                <w:color w:val="000000" w:themeColor="text1"/>
                <w:sz w:val="24"/>
              </w:rPr>
              <w:t>8mg/L</w:t>
            </w:r>
          </w:p>
          <w:p>
            <w:pPr>
              <w:jc w:val="center"/>
              <w:rPr>
                <w:color w:val="000000" w:themeColor="text1"/>
                <w:sz w:val="24"/>
              </w:rPr>
            </w:pPr>
            <w:r>
              <w:rPr>
                <w:rFonts w:hAnsi="宋体"/>
                <w:color w:val="000000" w:themeColor="text1"/>
                <w:sz w:val="24"/>
              </w:rPr>
              <w:t>支链淀粉</w:t>
            </w:r>
            <w:r>
              <w:rPr>
                <w:color w:val="000000" w:themeColor="text1"/>
                <w:sz w:val="24"/>
              </w:rPr>
              <w:t>32mg/L</w:t>
            </w:r>
          </w:p>
        </w:tc>
        <w:tc>
          <w:tcPr>
            <w:tcW w:w="801"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color w:val="000000" w:themeColor="text1"/>
                <w:sz w:val="24"/>
              </w:rPr>
            </w:pPr>
            <w:r>
              <w:rPr>
                <w:color w:val="000000" w:themeColor="text1"/>
                <w:sz w:val="24"/>
              </w:rPr>
              <w:t>0.123</w:t>
            </w:r>
          </w:p>
        </w:tc>
        <w:tc>
          <w:tcPr>
            <w:tcW w:w="813"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color w:val="000000" w:themeColor="text1"/>
                <w:sz w:val="24"/>
              </w:rPr>
            </w:pPr>
            <w:r>
              <w:rPr>
                <w:color w:val="000000" w:themeColor="text1"/>
                <w:sz w:val="24"/>
              </w:rPr>
              <w:t>0.3079</w:t>
            </w:r>
          </w:p>
        </w:tc>
        <w:tc>
          <w:tcPr>
            <w:tcW w:w="903"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color w:val="000000" w:themeColor="text1"/>
                <w:sz w:val="24"/>
              </w:rPr>
            </w:pPr>
            <w:r>
              <w:rPr>
                <w:color w:val="000000" w:themeColor="text1"/>
                <w:sz w:val="24"/>
              </w:rPr>
              <w:t>0.333</w:t>
            </w:r>
          </w:p>
        </w:tc>
        <w:tc>
          <w:tcPr>
            <w:tcW w:w="1042"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color w:val="000000" w:themeColor="text1"/>
                <w:sz w:val="24"/>
              </w:rPr>
            </w:pPr>
            <w:r>
              <w:rPr>
                <w:color w:val="000000" w:themeColor="text1"/>
                <w:sz w:val="24"/>
              </w:rPr>
              <w:t>0.1563</w:t>
            </w:r>
          </w:p>
        </w:tc>
      </w:tr>
      <w:tr>
        <w:tblPrEx>
          <w:tblCellMar>
            <w:top w:w="0" w:type="dxa"/>
            <w:left w:w="108" w:type="dxa"/>
            <w:bottom w:w="0" w:type="dxa"/>
            <w:right w:w="108" w:type="dxa"/>
          </w:tblCellMar>
        </w:tblPrEx>
        <w:trPr>
          <w:trHeight w:val="285" w:hRule="atLeast"/>
          <w:jc w:val="center"/>
        </w:trPr>
        <w:tc>
          <w:tcPr>
            <w:tcW w:w="1440"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color w:val="000000" w:themeColor="text1"/>
                <w:sz w:val="24"/>
              </w:rPr>
            </w:pPr>
            <w:r>
              <w:rPr>
                <w:rFonts w:hAnsi="宋体"/>
                <w:color w:val="000000" w:themeColor="text1"/>
                <w:sz w:val="24"/>
              </w:rPr>
              <w:t>直链淀粉</w:t>
            </w:r>
            <w:r>
              <w:rPr>
                <w:color w:val="000000" w:themeColor="text1"/>
                <w:sz w:val="24"/>
              </w:rPr>
              <w:t>16mg/L</w:t>
            </w:r>
          </w:p>
          <w:p>
            <w:pPr>
              <w:jc w:val="center"/>
              <w:rPr>
                <w:color w:val="000000" w:themeColor="text1"/>
                <w:sz w:val="24"/>
              </w:rPr>
            </w:pPr>
            <w:r>
              <w:rPr>
                <w:rFonts w:hAnsi="宋体"/>
                <w:color w:val="000000" w:themeColor="text1"/>
                <w:sz w:val="24"/>
              </w:rPr>
              <w:t>支链淀粉</w:t>
            </w:r>
            <w:r>
              <w:rPr>
                <w:color w:val="000000" w:themeColor="text1"/>
                <w:sz w:val="24"/>
              </w:rPr>
              <w:t>64mg/L</w:t>
            </w:r>
          </w:p>
        </w:tc>
        <w:tc>
          <w:tcPr>
            <w:tcW w:w="801"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color w:val="000000" w:themeColor="text1"/>
                <w:sz w:val="24"/>
              </w:rPr>
            </w:pPr>
            <w:r>
              <w:rPr>
                <w:color w:val="000000" w:themeColor="text1"/>
                <w:sz w:val="24"/>
              </w:rPr>
              <w:t>0.2404</w:t>
            </w:r>
          </w:p>
        </w:tc>
        <w:tc>
          <w:tcPr>
            <w:tcW w:w="813"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color w:val="000000" w:themeColor="text1"/>
                <w:sz w:val="24"/>
              </w:rPr>
            </w:pPr>
            <w:r>
              <w:rPr>
                <w:color w:val="000000" w:themeColor="text1"/>
                <w:sz w:val="24"/>
              </w:rPr>
              <w:t>0.5889</w:t>
            </w:r>
          </w:p>
        </w:tc>
        <w:tc>
          <w:tcPr>
            <w:tcW w:w="903"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color w:val="000000" w:themeColor="text1"/>
                <w:sz w:val="24"/>
              </w:rPr>
            </w:pPr>
            <w:r>
              <w:rPr>
                <w:color w:val="000000" w:themeColor="text1"/>
                <w:sz w:val="24"/>
              </w:rPr>
              <w:t>0.6609</w:t>
            </w:r>
          </w:p>
        </w:tc>
        <w:tc>
          <w:tcPr>
            <w:tcW w:w="1042"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color w:val="000000" w:themeColor="text1"/>
                <w:sz w:val="24"/>
              </w:rPr>
            </w:pPr>
            <w:r>
              <w:rPr>
                <w:color w:val="000000" w:themeColor="text1"/>
                <w:sz w:val="24"/>
              </w:rPr>
              <w:t>0.3188</w:t>
            </w:r>
          </w:p>
        </w:tc>
      </w:tr>
      <w:tr>
        <w:tblPrEx>
          <w:tblCellMar>
            <w:top w:w="0" w:type="dxa"/>
            <w:left w:w="108" w:type="dxa"/>
            <w:bottom w:w="0" w:type="dxa"/>
            <w:right w:w="108" w:type="dxa"/>
          </w:tblCellMar>
        </w:tblPrEx>
        <w:trPr>
          <w:trHeight w:val="285" w:hRule="atLeast"/>
          <w:jc w:val="center"/>
        </w:trPr>
        <w:tc>
          <w:tcPr>
            <w:tcW w:w="1440"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color w:val="000000" w:themeColor="text1"/>
                <w:sz w:val="24"/>
              </w:rPr>
            </w:pPr>
            <w:r>
              <w:rPr>
                <w:rFonts w:hAnsi="宋体"/>
                <w:color w:val="000000" w:themeColor="text1"/>
                <w:sz w:val="24"/>
              </w:rPr>
              <w:t>直链淀粉</w:t>
            </w:r>
            <w:r>
              <w:rPr>
                <w:color w:val="000000" w:themeColor="text1"/>
                <w:sz w:val="24"/>
              </w:rPr>
              <w:t>32mg/L</w:t>
            </w:r>
          </w:p>
          <w:p>
            <w:pPr>
              <w:jc w:val="center"/>
              <w:rPr>
                <w:color w:val="000000" w:themeColor="text1"/>
                <w:sz w:val="24"/>
              </w:rPr>
            </w:pPr>
            <w:r>
              <w:rPr>
                <w:rFonts w:hAnsi="宋体"/>
                <w:color w:val="000000" w:themeColor="text1"/>
                <w:sz w:val="24"/>
              </w:rPr>
              <w:t>支链淀粉</w:t>
            </w:r>
            <w:r>
              <w:rPr>
                <w:color w:val="000000" w:themeColor="text1"/>
                <w:sz w:val="24"/>
              </w:rPr>
              <w:t>128mg/L</w:t>
            </w:r>
          </w:p>
        </w:tc>
        <w:tc>
          <w:tcPr>
            <w:tcW w:w="801"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color w:val="000000" w:themeColor="text1"/>
                <w:sz w:val="24"/>
              </w:rPr>
            </w:pPr>
            <w:r>
              <w:rPr>
                <w:color w:val="000000" w:themeColor="text1"/>
                <w:sz w:val="24"/>
              </w:rPr>
              <w:t>0.4433</w:t>
            </w:r>
          </w:p>
        </w:tc>
        <w:tc>
          <w:tcPr>
            <w:tcW w:w="813"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color w:val="000000" w:themeColor="text1"/>
                <w:sz w:val="24"/>
              </w:rPr>
            </w:pPr>
            <w:r>
              <w:rPr>
                <w:color w:val="000000" w:themeColor="text1"/>
                <w:sz w:val="24"/>
              </w:rPr>
              <w:t>1.1166</w:t>
            </w:r>
          </w:p>
        </w:tc>
        <w:tc>
          <w:tcPr>
            <w:tcW w:w="903"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color w:val="000000" w:themeColor="text1"/>
                <w:sz w:val="24"/>
              </w:rPr>
            </w:pPr>
            <w:r>
              <w:rPr>
                <w:color w:val="000000" w:themeColor="text1"/>
                <w:sz w:val="24"/>
              </w:rPr>
              <w:t>1.2671</w:t>
            </w:r>
          </w:p>
        </w:tc>
        <w:tc>
          <w:tcPr>
            <w:tcW w:w="1042"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color w:val="000000" w:themeColor="text1"/>
                <w:sz w:val="24"/>
              </w:rPr>
            </w:pPr>
            <w:r>
              <w:rPr>
                <w:color w:val="000000" w:themeColor="text1"/>
                <w:sz w:val="24"/>
              </w:rPr>
              <w:t>0.6329</w:t>
            </w:r>
          </w:p>
        </w:tc>
      </w:tr>
    </w:tbl>
    <w:p>
      <w:pPr>
        <w:ind w:firstLine="420" w:firstLineChars="150"/>
        <w:jc w:val="center"/>
        <w:rPr>
          <w:rFonts w:ascii="仿宋_GB2312" w:eastAsia="仿宋_GB2312"/>
          <w:color w:val="000000" w:themeColor="text1"/>
          <w:sz w:val="28"/>
          <w:szCs w:val="28"/>
        </w:rPr>
      </w:pPr>
      <w:r>
        <w:rPr>
          <w:rFonts w:hint="eastAsia" w:ascii="仿宋_GB2312" w:hAnsi="宋体" w:eastAsia="仿宋_GB2312"/>
          <w:color w:val="000000" w:themeColor="text1"/>
          <w:sz w:val="28"/>
          <w:szCs w:val="28"/>
        </w:rPr>
        <w:t>表</w:t>
      </w:r>
      <w:r>
        <w:rPr>
          <w:rFonts w:hint="eastAsia" w:ascii="仿宋_GB2312" w:eastAsia="仿宋_GB2312"/>
          <w:color w:val="000000" w:themeColor="text1"/>
          <w:sz w:val="28"/>
          <w:szCs w:val="28"/>
        </w:rPr>
        <w:t>3</w:t>
      </w:r>
      <w:r>
        <w:rPr>
          <w:rFonts w:hint="eastAsia" w:ascii="仿宋_GB2312" w:hAnsi="宋体" w:eastAsia="仿宋_GB2312"/>
          <w:color w:val="000000" w:themeColor="text1"/>
          <w:sz w:val="28"/>
          <w:szCs w:val="28"/>
        </w:rPr>
        <w:t>支链淀粉标准溶液浓度及对应的吸光度差值</w:t>
      </w:r>
    </w:p>
    <w:tbl>
      <w:tblPr>
        <w:tblStyle w:val="10"/>
        <w:tblW w:w="5000" w:type="pct"/>
        <w:tblInd w:w="0" w:type="dxa"/>
        <w:tblLayout w:type="autofit"/>
        <w:tblCellMar>
          <w:top w:w="0" w:type="dxa"/>
          <w:left w:w="108" w:type="dxa"/>
          <w:bottom w:w="0" w:type="dxa"/>
          <w:right w:w="108" w:type="dxa"/>
        </w:tblCellMar>
      </w:tblPr>
      <w:tblGrid>
        <w:gridCol w:w="2656"/>
        <w:gridCol w:w="1816"/>
        <w:gridCol w:w="2656"/>
        <w:gridCol w:w="2160"/>
      </w:tblGrid>
      <w:tr>
        <w:tblPrEx>
          <w:tblCellMar>
            <w:top w:w="0" w:type="dxa"/>
            <w:left w:w="108" w:type="dxa"/>
            <w:bottom w:w="0" w:type="dxa"/>
            <w:right w:w="108" w:type="dxa"/>
          </w:tblCellMar>
        </w:tblPrEx>
        <w:trPr>
          <w:trHeight w:val="623" w:hRule="atLeast"/>
        </w:trPr>
        <w:tc>
          <w:tcPr>
            <w:tcW w:w="1018"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color w:val="000000" w:themeColor="text1"/>
                <w:sz w:val="24"/>
              </w:rPr>
            </w:pPr>
            <w:r>
              <w:rPr>
                <w:rFonts w:hAnsi="宋体"/>
                <w:color w:val="000000" w:themeColor="text1"/>
                <w:sz w:val="24"/>
              </w:rPr>
              <w:t>直链淀粉浓度（</w:t>
            </w:r>
            <w:r>
              <w:rPr>
                <w:color w:val="000000" w:themeColor="text1"/>
                <w:sz w:val="24"/>
              </w:rPr>
              <w:t>mg/L</w:t>
            </w:r>
            <w:r>
              <w:rPr>
                <w:rFonts w:hAnsi="宋体"/>
                <w:color w:val="000000" w:themeColor="text1"/>
                <w:sz w:val="24"/>
              </w:rPr>
              <w:t>）</w:t>
            </w:r>
          </w:p>
        </w:tc>
        <w:tc>
          <w:tcPr>
            <w:tcW w:w="120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color w:val="000000" w:themeColor="text1"/>
                <w:sz w:val="24"/>
              </w:rPr>
            </w:pPr>
            <w:r>
              <w:rPr>
                <w:color w:val="000000" w:themeColor="text1"/>
                <w:sz w:val="24"/>
              </w:rPr>
              <w:t>ΔA</w:t>
            </w:r>
            <w:r>
              <w:rPr>
                <w:rFonts w:hAnsi="宋体"/>
                <w:color w:val="000000" w:themeColor="text1"/>
                <w:sz w:val="24"/>
              </w:rPr>
              <w:t>直（</w:t>
            </w:r>
            <w:r>
              <w:rPr>
                <w:color w:val="000000" w:themeColor="text1"/>
                <w:sz w:val="24"/>
              </w:rPr>
              <w:t>Abs</w:t>
            </w:r>
            <w:r>
              <w:rPr>
                <w:rFonts w:hAnsi="宋体"/>
                <w:color w:val="000000" w:themeColor="text1"/>
                <w:sz w:val="24"/>
              </w:rPr>
              <w:t>）</w:t>
            </w:r>
          </w:p>
          <w:p>
            <w:pPr>
              <w:jc w:val="center"/>
              <w:rPr>
                <w:color w:val="000000" w:themeColor="text1"/>
                <w:sz w:val="24"/>
              </w:rPr>
            </w:pPr>
            <w:r>
              <w:rPr>
                <w:color w:val="000000" w:themeColor="text1"/>
                <w:sz w:val="24"/>
              </w:rPr>
              <w:t>630-427</w:t>
            </w:r>
          </w:p>
        </w:tc>
        <w:tc>
          <w:tcPr>
            <w:tcW w:w="1389"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color w:val="000000" w:themeColor="text1"/>
                <w:sz w:val="24"/>
              </w:rPr>
            </w:pPr>
            <w:r>
              <w:rPr>
                <w:rFonts w:hAnsi="宋体"/>
                <w:color w:val="000000" w:themeColor="text1"/>
                <w:sz w:val="24"/>
              </w:rPr>
              <w:t>支直淀粉浓度（</w:t>
            </w:r>
            <w:r>
              <w:rPr>
                <w:color w:val="000000" w:themeColor="text1"/>
                <w:sz w:val="24"/>
              </w:rPr>
              <w:t>mg/L</w:t>
            </w:r>
            <w:r>
              <w:rPr>
                <w:rFonts w:hAnsi="宋体"/>
                <w:color w:val="000000" w:themeColor="text1"/>
                <w:sz w:val="24"/>
              </w:rPr>
              <w:t>）</w:t>
            </w:r>
          </w:p>
        </w:tc>
        <w:tc>
          <w:tcPr>
            <w:tcW w:w="1389"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color w:val="000000" w:themeColor="text1"/>
                <w:sz w:val="24"/>
              </w:rPr>
            </w:pPr>
            <w:r>
              <w:rPr>
                <w:color w:val="000000" w:themeColor="text1"/>
                <w:sz w:val="24"/>
              </w:rPr>
              <w:t>ΔA</w:t>
            </w:r>
            <w:r>
              <w:rPr>
                <w:rFonts w:hAnsi="宋体"/>
                <w:color w:val="000000" w:themeColor="text1"/>
                <w:sz w:val="24"/>
              </w:rPr>
              <w:t>支（</w:t>
            </w:r>
            <w:r>
              <w:rPr>
                <w:color w:val="000000" w:themeColor="text1"/>
                <w:sz w:val="24"/>
              </w:rPr>
              <w:t>Abs</w:t>
            </w:r>
            <w:r>
              <w:rPr>
                <w:rFonts w:hAnsi="宋体"/>
                <w:color w:val="000000" w:themeColor="text1"/>
                <w:sz w:val="24"/>
              </w:rPr>
              <w:t>）</w:t>
            </w:r>
          </w:p>
          <w:p>
            <w:pPr>
              <w:jc w:val="center"/>
              <w:rPr>
                <w:color w:val="000000" w:themeColor="text1"/>
                <w:sz w:val="24"/>
              </w:rPr>
            </w:pPr>
            <w:r>
              <w:rPr>
                <w:color w:val="000000" w:themeColor="text1"/>
                <w:sz w:val="24"/>
              </w:rPr>
              <w:t>535-757</w:t>
            </w:r>
          </w:p>
        </w:tc>
      </w:tr>
      <w:tr>
        <w:tblPrEx>
          <w:tblCellMar>
            <w:top w:w="0" w:type="dxa"/>
            <w:left w:w="108" w:type="dxa"/>
            <w:bottom w:w="0" w:type="dxa"/>
            <w:right w:w="108" w:type="dxa"/>
          </w:tblCellMar>
        </w:tblPrEx>
        <w:trPr>
          <w:trHeight w:val="623" w:hRule="atLeast"/>
        </w:trPr>
        <w:tc>
          <w:tcPr>
            <w:tcW w:w="1018"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color w:val="000000" w:themeColor="text1"/>
                <w:sz w:val="24"/>
              </w:rPr>
            </w:pPr>
            <w:r>
              <w:rPr>
                <w:color w:val="000000" w:themeColor="text1"/>
                <w:sz w:val="24"/>
              </w:rPr>
              <w:t>2</w:t>
            </w:r>
          </w:p>
        </w:tc>
        <w:tc>
          <w:tcPr>
            <w:tcW w:w="120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color w:val="000000" w:themeColor="text1"/>
                <w:sz w:val="24"/>
              </w:rPr>
            </w:pPr>
            <w:r>
              <w:rPr>
                <w:color w:val="000000" w:themeColor="text1"/>
                <w:sz w:val="24"/>
              </w:rPr>
              <w:t>0.0506</w:t>
            </w:r>
          </w:p>
        </w:tc>
        <w:tc>
          <w:tcPr>
            <w:tcW w:w="1389"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color w:val="000000" w:themeColor="text1"/>
                <w:sz w:val="24"/>
              </w:rPr>
            </w:pPr>
            <w:r>
              <w:rPr>
                <w:color w:val="000000" w:themeColor="text1"/>
                <w:sz w:val="24"/>
              </w:rPr>
              <w:t>8</w:t>
            </w:r>
          </w:p>
        </w:tc>
        <w:tc>
          <w:tcPr>
            <w:tcW w:w="1389"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color w:val="000000" w:themeColor="text1"/>
                <w:sz w:val="24"/>
              </w:rPr>
            </w:pPr>
            <w:r>
              <w:rPr>
                <w:color w:val="000000" w:themeColor="text1"/>
                <w:sz w:val="24"/>
              </w:rPr>
              <w:t>0.0412</w:t>
            </w:r>
          </w:p>
        </w:tc>
      </w:tr>
      <w:tr>
        <w:tblPrEx>
          <w:tblCellMar>
            <w:top w:w="0" w:type="dxa"/>
            <w:left w:w="108" w:type="dxa"/>
            <w:bottom w:w="0" w:type="dxa"/>
            <w:right w:w="108" w:type="dxa"/>
          </w:tblCellMar>
        </w:tblPrEx>
        <w:trPr>
          <w:trHeight w:val="623" w:hRule="atLeast"/>
        </w:trPr>
        <w:tc>
          <w:tcPr>
            <w:tcW w:w="1018"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color w:val="000000" w:themeColor="text1"/>
                <w:sz w:val="24"/>
              </w:rPr>
            </w:pPr>
            <w:r>
              <w:rPr>
                <w:color w:val="000000" w:themeColor="text1"/>
                <w:sz w:val="24"/>
              </w:rPr>
              <w:t>4</w:t>
            </w:r>
          </w:p>
        </w:tc>
        <w:tc>
          <w:tcPr>
            <w:tcW w:w="120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color w:val="000000" w:themeColor="text1"/>
                <w:sz w:val="24"/>
              </w:rPr>
            </w:pPr>
            <w:r>
              <w:rPr>
                <w:color w:val="000000" w:themeColor="text1"/>
                <w:sz w:val="24"/>
              </w:rPr>
              <w:t>0.0983</w:t>
            </w:r>
          </w:p>
        </w:tc>
        <w:tc>
          <w:tcPr>
            <w:tcW w:w="1389"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color w:val="000000" w:themeColor="text1"/>
                <w:sz w:val="24"/>
              </w:rPr>
            </w:pPr>
            <w:r>
              <w:rPr>
                <w:color w:val="000000" w:themeColor="text1"/>
                <w:sz w:val="24"/>
              </w:rPr>
              <w:t>16</w:t>
            </w:r>
          </w:p>
        </w:tc>
        <w:tc>
          <w:tcPr>
            <w:tcW w:w="1389"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color w:val="000000" w:themeColor="text1"/>
                <w:sz w:val="24"/>
              </w:rPr>
            </w:pPr>
            <w:r>
              <w:rPr>
                <w:color w:val="000000" w:themeColor="text1"/>
                <w:sz w:val="24"/>
              </w:rPr>
              <w:t>0.0804</w:t>
            </w:r>
          </w:p>
        </w:tc>
      </w:tr>
      <w:tr>
        <w:tblPrEx>
          <w:tblCellMar>
            <w:top w:w="0" w:type="dxa"/>
            <w:left w:w="108" w:type="dxa"/>
            <w:bottom w:w="0" w:type="dxa"/>
            <w:right w:w="108" w:type="dxa"/>
          </w:tblCellMar>
        </w:tblPrEx>
        <w:trPr>
          <w:trHeight w:val="623" w:hRule="atLeast"/>
        </w:trPr>
        <w:tc>
          <w:tcPr>
            <w:tcW w:w="1018"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color w:val="000000" w:themeColor="text1"/>
                <w:sz w:val="24"/>
              </w:rPr>
            </w:pPr>
            <w:r>
              <w:rPr>
                <w:color w:val="000000" w:themeColor="text1"/>
                <w:sz w:val="24"/>
              </w:rPr>
              <w:t>8</w:t>
            </w:r>
          </w:p>
        </w:tc>
        <w:tc>
          <w:tcPr>
            <w:tcW w:w="120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color w:val="000000" w:themeColor="text1"/>
                <w:sz w:val="24"/>
              </w:rPr>
            </w:pPr>
            <w:r>
              <w:rPr>
                <w:color w:val="000000" w:themeColor="text1"/>
                <w:sz w:val="24"/>
              </w:rPr>
              <w:t>0.21</w:t>
            </w:r>
            <w:r>
              <w:rPr>
                <w:rFonts w:hint="eastAsia"/>
                <w:color w:val="000000" w:themeColor="text1"/>
                <w:sz w:val="24"/>
              </w:rPr>
              <w:t>00</w:t>
            </w:r>
          </w:p>
        </w:tc>
        <w:tc>
          <w:tcPr>
            <w:tcW w:w="1389"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color w:val="000000" w:themeColor="text1"/>
                <w:sz w:val="24"/>
              </w:rPr>
            </w:pPr>
            <w:r>
              <w:rPr>
                <w:color w:val="000000" w:themeColor="text1"/>
                <w:sz w:val="24"/>
              </w:rPr>
              <w:t>32</w:t>
            </w:r>
          </w:p>
        </w:tc>
        <w:tc>
          <w:tcPr>
            <w:tcW w:w="1389"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color w:val="000000" w:themeColor="text1"/>
                <w:sz w:val="24"/>
              </w:rPr>
            </w:pPr>
            <w:r>
              <w:rPr>
                <w:color w:val="000000" w:themeColor="text1"/>
                <w:sz w:val="24"/>
              </w:rPr>
              <w:t>0.1516</w:t>
            </w:r>
          </w:p>
        </w:tc>
      </w:tr>
      <w:tr>
        <w:tblPrEx>
          <w:tblCellMar>
            <w:top w:w="0" w:type="dxa"/>
            <w:left w:w="108" w:type="dxa"/>
            <w:bottom w:w="0" w:type="dxa"/>
            <w:right w:w="108" w:type="dxa"/>
          </w:tblCellMar>
        </w:tblPrEx>
        <w:trPr>
          <w:trHeight w:val="623" w:hRule="atLeast"/>
        </w:trPr>
        <w:tc>
          <w:tcPr>
            <w:tcW w:w="1018"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color w:val="000000" w:themeColor="text1"/>
                <w:sz w:val="24"/>
              </w:rPr>
            </w:pPr>
            <w:r>
              <w:rPr>
                <w:color w:val="000000" w:themeColor="text1"/>
                <w:sz w:val="24"/>
              </w:rPr>
              <w:t>16</w:t>
            </w:r>
          </w:p>
        </w:tc>
        <w:tc>
          <w:tcPr>
            <w:tcW w:w="120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color w:val="000000" w:themeColor="text1"/>
                <w:sz w:val="24"/>
              </w:rPr>
            </w:pPr>
            <w:r>
              <w:rPr>
                <w:color w:val="000000" w:themeColor="text1"/>
                <w:sz w:val="24"/>
              </w:rPr>
              <w:t>0.4205</w:t>
            </w:r>
          </w:p>
        </w:tc>
        <w:tc>
          <w:tcPr>
            <w:tcW w:w="1389"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color w:val="000000" w:themeColor="text1"/>
                <w:sz w:val="24"/>
              </w:rPr>
            </w:pPr>
            <w:r>
              <w:rPr>
                <w:color w:val="000000" w:themeColor="text1"/>
                <w:sz w:val="24"/>
              </w:rPr>
              <w:t>64</w:t>
            </w:r>
          </w:p>
        </w:tc>
        <w:tc>
          <w:tcPr>
            <w:tcW w:w="1389"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color w:val="000000" w:themeColor="text1"/>
                <w:sz w:val="24"/>
              </w:rPr>
            </w:pPr>
            <w:r>
              <w:rPr>
                <w:color w:val="000000" w:themeColor="text1"/>
                <w:sz w:val="24"/>
              </w:rPr>
              <w:t>0.2701</w:t>
            </w:r>
          </w:p>
        </w:tc>
      </w:tr>
      <w:tr>
        <w:tblPrEx>
          <w:tblCellMar>
            <w:top w:w="0" w:type="dxa"/>
            <w:left w:w="108" w:type="dxa"/>
            <w:bottom w:w="0" w:type="dxa"/>
            <w:right w:w="108" w:type="dxa"/>
          </w:tblCellMar>
        </w:tblPrEx>
        <w:trPr>
          <w:trHeight w:val="623" w:hRule="atLeast"/>
        </w:trPr>
        <w:tc>
          <w:tcPr>
            <w:tcW w:w="1018"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color w:val="000000" w:themeColor="text1"/>
                <w:sz w:val="24"/>
              </w:rPr>
            </w:pPr>
            <w:r>
              <w:rPr>
                <w:color w:val="000000" w:themeColor="text1"/>
                <w:sz w:val="24"/>
              </w:rPr>
              <w:t>32</w:t>
            </w:r>
          </w:p>
        </w:tc>
        <w:tc>
          <w:tcPr>
            <w:tcW w:w="120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color w:val="000000" w:themeColor="text1"/>
                <w:sz w:val="24"/>
              </w:rPr>
            </w:pPr>
            <w:r>
              <w:rPr>
                <w:color w:val="000000" w:themeColor="text1"/>
                <w:sz w:val="24"/>
              </w:rPr>
              <w:t>0.8238</w:t>
            </w:r>
          </w:p>
        </w:tc>
        <w:tc>
          <w:tcPr>
            <w:tcW w:w="1389"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color w:val="000000" w:themeColor="text1"/>
                <w:sz w:val="24"/>
              </w:rPr>
            </w:pPr>
            <w:r>
              <w:rPr>
                <w:color w:val="000000" w:themeColor="text1"/>
                <w:sz w:val="24"/>
              </w:rPr>
              <w:t>128</w:t>
            </w:r>
          </w:p>
        </w:tc>
        <w:tc>
          <w:tcPr>
            <w:tcW w:w="1389"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color w:val="000000" w:themeColor="text1"/>
                <w:sz w:val="24"/>
              </w:rPr>
            </w:pPr>
            <w:r>
              <w:rPr>
                <w:color w:val="000000" w:themeColor="text1"/>
                <w:sz w:val="24"/>
              </w:rPr>
              <w:t>0.4837</w:t>
            </w:r>
          </w:p>
        </w:tc>
      </w:tr>
    </w:tbl>
    <w:p>
      <w:pPr>
        <w:ind w:firstLine="360" w:firstLineChars="150"/>
        <w:rPr>
          <w:color w:val="000000" w:themeColor="text1"/>
          <w:sz w:val="24"/>
        </w:rPr>
      </w:pPr>
    </w:p>
    <w:p>
      <w:pPr>
        <w:ind w:firstLine="360" w:firstLineChars="150"/>
        <w:jc w:val="center"/>
        <w:rPr>
          <w:color w:val="000000" w:themeColor="text1"/>
          <w:sz w:val="24"/>
        </w:rPr>
      </w:pPr>
      <w:r>
        <w:rPr>
          <w:color w:val="000000" w:themeColor="text1"/>
          <w:sz w:val="24"/>
        </w:rPr>
        <w:object>
          <v:shape id="_x0000_i1025" o:spt="75" type="#_x0000_t75" style="height:217.15pt;width:361.15pt;" o:ole="t" filled="f" o:preferrelative="t" stroked="f" coordsize="21600,21600">
            <v:path/>
            <v:fill on="f" focussize="0,0"/>
            <v:stroke on="f" joinstyle="miter"/>
            <v:imagedata r:id="rId7" o:title=""/>
            <o:lock v:ext="edit" aspectratio="f"/>
            <w10:wrap type="none"/>
            <w10:anchorlock/>
          </v:shape>
          <o:OLEObject Type="Embed" ProgID="Excel.Chart.8" ShapeID="_x0000_i1025" DrawAspect="Content" ObjectID="_1468075725" r:id="rId6">
            <o:LockedField>false</o:LockedField>
          </o:OLEObject>
        </w:object>
      </w:r>
    </w:p>
    <w:p>
      <w:pPr>
        <w:ind w:firstLine="360" w:firstLineChars="150"/>
        <w:jc w:val="center"/>
        <w:rPr>
          <w:color w:val="000000" w:themeColor="text1"/>
          <w:sz w:val="24"/>
        </w:rPr>
      </w:pPr>
      <w:r>
        <w:rPr>
          <w:rFonts w:hAnsi="宋体"/>
          <w:color w:val="000000" w:themeColor="text1"/>
          <w:sz w:val="24"/>
        </w:rPr>
        <w:t>图</w:t>
      </w:r>
      <w:r>
        <w:rPr>
          <w:color w:val="000000" w:themeColor="text1"/>
          <w:sz w:val="24"/>
        </w:rPr>
        <w:t xml:space="preserve">2 </w:t>
      </w:r>
      <w:r>
        <w:rPr>
          <w:rFonts w:hAnsi="宋体"/>
          <w:color w:val="000000" w:themeColor="text1"/>
          <w:sz w:val="24"/>
        </w:rPr>
        <w:t>支链淀粉标准曲线</w:t>
      </w:r>
    </w:p>
    <w:p>
      <w:pPr>
        <w:ind w:firstLine="360" w:firstLineChars="150"/>
        <w:rPr>
          <w:color w:val="000000" w:themeColor="text1"/>
          <w:sz w:val="24"/>
        </w:rPr>
      </w:pPr>
    </w:p>
    <w:p>
      <w:pPr>
        <w:ind w:firstLine="360" w:firstLineChars="150"/>
        <w:rPr>
          <w:color w:val="000000" w:themeColor="text1"/>
          <w:sz w:val="24"/>
        </w:rPr>
      </w:pPr>
    </w:p>
    <w:p>
      <w:pPr>
        <w:ind w:firstLine="360" w:firstLineChars="150"/>
        <w:jc w:val="center"/>
        <w:rPr>
          <w:color w:val="000000" w:themeColor="text1"/>
          <w:sz w:val="24"/>
        </w:rPr>
      </w:pPr>
      <w:r>
        <w:rPr>
          <w:color w:val="000000" w:themeColor="text1"/>
          <w:sz w:val="24"/>
        </w:rPr>
        <w:object>
          <v:shape id="_x0000_i1026" o:spt="75" type="#_x0000_t75" style="height:217.15pt;width:361.15pt;" o:ole="t" filled="f" o:preferrelative="t" stroked="f" coordsize="21600,21600">
            <v:path/>
            <v:fill on="f" focussize="0,0"/>
            <v:stroke on="f" joinstyle="miter"/>
            <v:imagedata r:id="rId9" o:title=""/>
            <o:lock v:ext="edit" aspectratio="f"/>
            <w10:wrap type="none"/>
            <w10:anchorlock/>
          </v:shape>
          <o:OLEObject Type="Embed" ProgID="Excel.Chart.8" ShapeID="_x0000_i1026" DrawAspect="Content" ObjectID="_1468075726" r:id="rId8">
            <o:LockedField>false</o:LockedField>
          </o:OLEObject>
        </w:object>
      </w:r>
    </w:p>
    <w:p>
      <w:pPr>
        <w:ind w:firstLine="360" w:firstLineChars="150"/>
        <w:jc w:val="center"/>
        <w:rPr>
          <w:rFonts w:hAnsi="宋体"/>
          <w:color w:val="000000" w:themeColor="text1"/>
          <w:sz w:val="24"/>
        </w:rPr>
      </w:pPr>
      <w:r>
        <w:rPr>
          <w:rFonts w:hAnsi="宋体"/>
          <w:color w:val="000000" w:themeColor="text1"/>
          <w:sz w:val="24"/>
        </w:rPr>
        <w:t>图</w:t>
      </w:r>
      <w:r>
        <w:rPr>
          <w:color w:val="000000" w:themeColor="text1"/>
          <w:sz w:val="24"/>
        </w:rPr>
        <w:t xml:space="preserve">3 </w:t>
      </w:r>
      <w:r>
        <w:rPr>
          <w:rFonts w:hAnsi="宋体"/>
          <w:color w:val="000000" w:themeColor="text1"/>
          <w:sz w:val="24"/>
        </w:rPr>
        <w:t>直链淀粉标准曲线</w:t>
      </w:r>
    </w:p>
    <w:p>
      <w:pPr>
        <w:pStyle w:val="14"/>
        <w:numPr>
          <w:ilvl w:val="0"/>
          <w:numId w:val="6"/>
        </w:numPr>
        <w:autoSpaceDE w:val="0"/>
        <w:autoSpaceDN w:val="0"/>
        <w:adjustRightInd w:val="0"/>
        <w:spacing w:before="120" w:after="120"/>
        <w:ind w:left="0" w:firstLine="0" w:firstLineChars="0"/>
        <w:jc w:val="left"/>
        <w:outlineLvl w:val="2"/>
        <w:rPr>
          <w:rFonts w:ascii="仿宋_GB2312" w:eastAsia="仿宋_GB2312"/>
          <w:b/>
          <w:color w:val="000000" w:themeColor="text1"/>
          <w:sz w:val="28"/>
          <w:szCs w:val="28"/>
        </w:rPr>
      </w:pPr>
      <w:r>
        <w:rPr>
          <w:rFonts w:hint="eastAsia" w:ascii="仿宋_GB2312" w:hAnsi="宋体" w:eastAsia="仿宋_GB2312"/>
          <w:b/>
          <w:sz w:val="28"/>
          <w:szCs w:val="28"/>
        </w:rPr>
        <w:t>显色时间确定（稳定性试验）</w:t>
      </w:r>
    </w:p>
    <w:p>
      <w:pPr>
        <w:ind w:firstLine="560" w:firstLineChars="200"/>
        <w:rPr>
          <w:rFonts w:ascii="仿宋_GB2312" w:eastAsia="仿宋_GB2312"/>
          <w:color w:val="000000" w:themeColor="text1"/>
          <w:sz w:val="28"/>
          <w:szCs w:val="28"/>
        </w:rPr>
      </w:pPr>
      <w:r>
        <w:rPr>
          <w:rFonts w:hint="eastAsia" w:ascii="仿宋_GB2312" w:hAnsi="宋体" w:eastAsia="仿宋_GB2312"/>
          <w:sz w:val="28"/>
          <w:szCs w:val="28"/>
        </w:rPr>
        <w:t>吸取直链淀粉标准溶液</w:t>
      </w:r>
      <w:r>
        <w:rPr>
          <w:rFonts w:hint="eastAsia" w:ascii="仿宋_GB2312" w:hAnsi="宋体" w:eastAsia="仿宋_GB2312"/>
          <w:color w:val="000000" w:themeColor="text1"/>
          <w:sz w:val="28"/>
          <w:szCs w:val="28"/>
        </w:rPr>
        <w:t>（</w:t>
      </w:r>
      <w:r>
        <w:rPr>
          <w:rFonts w:hint="eastAsia" w:ascii="仿宋_GB2312" w:eastAsia="仿宋_GB2312"/>
          <w:color w:val="000000" w:themeColor="text1"/>
          <w:sz w:val="28"/>
          <w:szCs w:val="28"/>
        </w:rPr>
        <w:t>1mg/mL</w:t>
      </w:r>
      <w:r>
        <w:rPr>
          <w:rFonts w:hint="eastAsia" w:ascii="仿宋_GB2312" w:hAnsi="宋体" w:eastAsia="仿宋_GB2312"/>
          <w:color w:val="000000" w:themeColor="text1"/>
          <w:sz w:val="28"/>
          <w:szCs w:val="28"/>
        </w:rPr>
        <w:t>）</w:t>
      </w:r>
      <w:r>
        <w:rPr>
          <w:rFonts w:hint="eastAsia" w:ascii="仿宋_GB2312" w:eastAsia="仿宋_GB2312"/>
          <w:color w:val="000000" w:themeColor="text1"/>
          <w:sz w:val="28"/>
          <w:szCs w:val="28"/>
        </w:rPr>
        <w:t>2mL</w:t>
      </w:r>
      <w:bookmarkStart w:id="3" w:name="_Hlk71556549"/>
      <w:r>
        <w:rPr>
          <w:rFonts w:hint="eastAsia" w:ascii="仿宋_GB2312" w:hAnsi="宋体" w:eastAsia="仿宋_GB2312"/>
          <w:color w:val="000000" w:themeColor="text1"/>
          <w:sz w:val="28"/>
          <w:szCs w:val="28"/>
        </w:rPr>
        <w:t>入</w:t>
      </w:r>
      <w:r>
        <w:rPr>
          <w:rFonts w:hint="eastAsia" w:ascii="仿宋_GB2312" w:eastAsia="仿宋_GB2312"/>
          <w:color w:val="000000" w:themeColor="text1"/>
          <w:sz w:val="28"/>
          <w:szCs w:val="28"/>
        </w:rPr>
        <w:t>50mL</w:t>
      </w:r>
      <w:r>
        <w:rPr>
          <w:rFonts w:hint="eastAsia" w:ascii="仿宋_GB2312" w:hAnsi="宋体" w:eastAsia="仿宋_GB2312"/>
          <w:color w:val="000000" w:themeColor="text1"/>
          <w:sz w:val="28"/>
          <w:szCs w:val="28"/>
        </w:rPr>
        <w:t>容量瓶中</w:t>
      </w:r>
      <w:bookmarkEnd w:id="3"/>
      <w:r>
        <w:rPr>
          <w:rFonts w:hint="eastAsia" w:ascii="仿宋_GB2312" w:hAnsi="宋体" w:eastAsia="仿宋_GB2312"/>
          <w:color w:val="000000" w:themeColor="text1"/>
          <w:sz w:val="28"/>
          <w:szCs w:val="28"/>
        </w:rPr>
        <w:t>，加入</w:t>
      </w:r>
      <w:r>
        <w:rPr>
          <w:rFonts w:hint="eastAsia" w:ascii="仿宋_GB2312" w:eastAsia="仿宋_GB2312"/>
          <w:color w:val="000000" w:themeColor="text1"/>
          <w:sz w:val="28"/>
          <w:szCs w:val="28"/>
        </w:rPr>
        <w:t>0.09mol/LK0H</w:t>
      </w:r>
      <w:r>
        <w:rPr>
          <w:rFonts w:hint="eastAsia" w:ascii="仿宋_GB2312" w:hAnsi="宋体" w:eastAsia="仿宋_GB2312"/>
          <w:color w:val="000000" w:themeColor="text1"/>
          <w:sz w:val="28"/>
          <w:szCs w:val="28"/>
        </w:rPr>
        <w:t>溶液</w:t>
      </w:r>
      <w:r>
        <w:rPr>
          <w:rFonts w:hint="eastAsia" w:ascii="仿宋_GB2312" w:eastAsia="仿宋_GB2312"/>
          <w:color w:val="000000" w:themeColor="text1"/>
          <w:sz w:val="28"/>
          <w:szCs w:val="28"/>
        </w:rPr>
        <w:t>4mL</w:t>
      </w:r>
      <w:r>
        <w:rPr>
          <w:rFonts w:hint="eastAsia" w:ascii="仿宋_GB2312" w:hAnsi="宋体" w:eastAsia="仿宋_GB2312"/>
          <w:color w:val="000000" w:themeColor="text1"/>
          <w:sz w:val="28"/>
          <w:szCs w:val="28"/>
        </w:rPr>
        <w:t>，加入</w:t>
      </w:r>
      <w:r>
        <w:rPr>
          <w:rFonts w:hint="eastAsia" w:ascii="仿宋_GB2312" w:eastAsia="仿宋_GB2312"/>
          <w:color w:val="000000" w:themeColor="text1"/>
          <w:sz w:val="28"/>
          <w:szCs w:val="28"/>
        </w:rPr>
        <w:t>1mol/L</w:t>
      </w:r>
      <w:r>
        <w:rPr>
          <w:rFonts w:hint="eastAsia" w:ascii="仿宋_GB2312" w:hAnsi="宋体" w:eastAsia="仿宋_GB2312"/>
          <w:color w:val="000000" w:themeColor="text1"/>
          <w:sz w:val="28"/>
          <w:szCs w:val="28"/>
        </w:rPr>
        <w:t>乙酸溶液</w:t>
      </w:r>
      <w:r>
        <w:rPr>
          <w:rFonts w:hint="eastAsia" w:ascii="仿宋_GB2312" w:eastAsia="仿宋_GB2312"/>
          <w:color w:val="000000" w:themeColor="text1"/>
          <w:sz w:val="28"/>
          <w:szCs w:val="28"/>
        </w:rPr>
        <w:t>2mL</w:t>
      </w:r>
      <w:r>
        <w:rPr>
          <w:rFonts w:hint="eastAsia" w:ascii="仿宋_GB2312" w:hAnsi="宋体" w:eastAsia="仿宋_GB2312"/>
          <w:color w:val="000000" w:themeColor="text1"/>
          <w:sz w:val="28"/>
          <w:szCs w:val="28"/>
        </w:rPr>
        <w:t>及</w:t>
      </w:r>
      <w:r>
        <w:rPr>
          <w:rFonts w:hint="eastAsia" w:ascii="仿宋_GB2312" w:eastAsia="仿宋_GB2312"/>
          <w:color w:val="000000" w:themeColor="text1"/>
          <w:sz w:val="28"/>
          <w:szCs w:val="28"/>
        </w:rPr>
        <w:t>1mL</w:t>
      </w:r>
      <w:r>
        <w:rPr>
          <w:rFonts w:hint="eastAsia" w:ascii="仿宋_GB2312" w:hAnsi="宋体" w:eastAsia="仿宋_GB2312"/>
          <w:color w:val="000000" w:themeColor="text1"/>
          <w:sz w:val="28"/>
          <w:szCs w:val="28"/>
        </w:rPr>
        <w:t>碘试剂，定容到</w:t>
      </w:r>
      <w:r>
        <w:rPr>
          <w:rFonts w:hint="eastAsia" w:ascii="仿宋_GB2312" w:eastAsia="仿宋_GB2312"/>
          <w:color w:val="000000" w:themeColor="text1"/>
          <w:sz w:val="28"/>
          <w:szCs w:val="28"/>
        </w:rPr>
        <w:t>50mL</w:t>
      </w:r>
      <w:r>
        <w:rPr>
          <w:rFonts w:hint="eastAsia" w:ascii="仿宋_GB2312" w:hAnsi="宋体" w:eastAsia="仿宋_GB2312"/>
          <w:color w:val="000000" w:themeColor="text1"/>
          <w:sz w:val="28"/>
          <w:szCs w:val="28"/>
        </w:rPr>
        <w:t>，配置成溶液浓度为</w:t>
      </w:r>
      <w:r>
        <w:rPr>
          <w:rFonts w:hint="eastAsia" w:ascii="仿宋_GB2312" w:eastAsia="仿宋_GB2312"/>
          <w:color w:val="000000" w:themeColor="text1"/>
          <w:sz w:val="28"/>
          <w:szCs w:val="28"/>
        </w:rPr>
        <w:t>40mg/L</w:t>
      </w:r>
      <w:r>
        <w:rPr>
          <w:rFonts w:hint="eastAsia" w:ascii="仿宋_GB2312" w:hAnsi="宋体" w:eastAsia="仿宋_GB2312"/>
          <w:color w:val="000000" w:themeColor="text1"/>
          <w:sz w:val="28"/>
          <w:szCs w:val="28"/>
        </w:rPr>
        <w:t>显色液；吸取</w:t>
      </w:r>
      <w:r>
        <w:rPr>
          <w:rFonts w:hint="eastAsia" w:ascii="仿宋_GB2312" w:eastAsia="仿宋_GB2312"/>
          <w:color w:val="000000" w:themeColor="text1"/>
          <w:sz w:val="28"/>
          <w:szCs w:val="28"/>
        </w:rPr>
        <w:t>6mL</w:t>
      </w:r>
      <w:r>
        <w:rPr>
          <w:rFonts w:hint="eastAsia" w:ascii="仿宋_GB2312" w:hAnsi="宋体" w:eastAsia="仿宋_GB2312"/>
          <w:color w:val="000000" w:themeColor="text1"/>
          <w:sz w:val="28"/>
          <w:szCs w:val="28"/>
        </w:rPr>
        <w:t>支链淀粉标准溶液（</w:t>
      </w:r>
      <w:r>
        <w:rPr>
          <w:rFonts w:hint="eastAsia" w:ascii="仿宋_GB2312" w:eastAsia="仿宋_GB2312"/>
          <w:color w:val="000000" w:themeColor="text1"/>
          <w:sz w:val="28"/>
          <w:szCs w:val="28"/>
        </w:rPr>
        <w:t>1mg/mL</w:t>
      </w:r>
      <w:r>
        <w:rPr>
          <w:rFonts w:hint="eastAsia" w:ascii="仿宋_GB2312" w:hAnsi="宋体" w:eastAsia="仿宋_GB2312"/>
          <w:color w:val="000000" w:themeColor="text1"/>
          <w:sz w:val="28"/>
          <w:szCs w:val="28"/>
        </w:rPr>
        <w:t>）</w:t>
      </w:r>
      <w:r>
        <w:rPr>
          <w:rFonts w:hint="eastAsia" w:ascii="仿宋_GB2312" w:eastAsia="仿宋_GB2312"/>
          <w:color w:val="000000" w:themeColor="text1"/>
          <w:sz w:val="28"/>
          <w:szCs w:val="28"/>
        </w:rPr>
        <w:t>6mL</w:t>
      </w:r>
      <w:r>
        <w:rPr>
          <w:rFonts w:hint="eastAsia" w:ascii="仿宋_GB2312" w:hAnsi="宋体" w:eastAsia="仿宋_GB2312"/>
          <w:color w:val="000000" w:themeColor="text1"/>
          <w:sz w:val="28"/>
          <w:szCs w:val="28"/>
        </w:rPr>
        <w:t>入</w:t>
      </w:r>
      <w:r>
        <w:rPr>
          <w:rFonts w:hint="eastAsia" w:ascii="仿宋_GB2312" w:eastAsia="仿宋_GB2312"/>
          <w:color w:val="000000" w:themeColor="text1"/>
          <w:sz w:val="28"/>
          <w:szCs w:val="28"/>
        </w:rPr>
        <w:t>50mL</w:t>
      </w:r>
      <w:r>
        <w:rPr>
          <w:rFonts w:hint="eastAsia" w:ascii="仿宋_GB2312" w:hAnsi="宋体" w:eastAsia="仿宋_GB2312"/>
          <w:color w:val="000000" w:themeColor="text1"/>
          <w:sz w:val="28"/>
          <w:szCs w:val="28"/>
        </w:rPr>
        <w:t>容量瓶中，加入</w:t>
      </w:r>
      <w:r>
        <w:rPr>
          <w:rFonts w:hint="eastAsia" w:ascii="仿宋_GB2312" w:eastAsia="仿宋_GB2312"/>
          <w:color w:val="000000" w:themeColor="text1"/>
          <w:sz w:val="28"/>
          <w:szCs w:val="28"/>
        </w:rPr>
        <w:t>1mol/L</w:t>
      </w:r>
      <w:r>
        <w:rPr>
          <w:rFonts w:hint="eastAsia" w:ascii="仿宋_GB2312" w:hAnsi="宋体" w:eastAsia="仿宋_GB2312"/>
          <w:color w:val="000000" w:themeColor="text1"/>
          <w:sz w:val="28"/>
          <w:szCs w:val="28"/>
        </w:rPr>
        <w:t>乙酸溶液</w:t>
      </w:r>
      <w:r>
        <w:rPr>
          <w:rFonts w:hint="eastAsia" w:ascii="仿宋_GB2312" w:eastAsia="仿宋_GB2312"/>
          <w:color w:val="000000" w:themeColor="text1"/>
          <w:sz w:val="28"/>
          <w:szCs w:val="28"/>
        </w:rPr>
        <w:t>2mL</w:t>
      </w:r>
      <w:r>
        <w:rPr>
          <w:rFonts w:hint="eastAsia" w:ascii="仿宋_GB2312" w:hAnsi="宋体" w:eastAsia="仿宋_GB2312"/>
          <w:color w:val="000000" w:themeColor="text1"/>
          <w:sz w:val="28"/>
          <w:szCs w:val="28"/>
        </w:rPr>
        <w:t>及</w:t>
      </w:r>
      <w:r>
        <w:rPr>
          <w:rFonts w:hint="eastAsia" w:ascii="仿宋_GB2312" w:eastAsia="仿宋_GB2312"/>
          <w:color w:val="000000" w:themeColor="text1"/>
          <w:sz w:val="28"/>
          <w:szCs w:val="28"/>
        </w:rPr>
        <w:t>1mL</w:t>
      </w:r>
      <w:r>
        <w:rPr>
          <w:rFonts w:hint="eastAsia" w:ascii="仿宋_GB2312" w:hAnsi="宋体" w:eastAsia="仿宋_GB2312"/>
          <w:color w:val="000000" w:themeColor="text1"/>
          <w:sz w:val="28"/>
          <w:szCs w:val="28"/>
        </w:rPr>
        <w:t>碘试剂，定容到</w:t>
      </w:r>
      <w:r>
        <w:rPr>
          <w:rFonts w:hint="eastAsia" w:ascii="仿宋_GB2312" w:eastAsia="仿宋_GB2312"/>
          <w:color w:val="000000" w:themeColor="text1"/>
          <w:sz w:val="28"/>
          <w:szCs w:val="28"/>
        </w:rPr>
        <w:t>50mL</w:t>
      </w:r>
      <w:r>
        <w:rPr>
          <w:rFonts w:hint="eastAsia" w:ascii="仿宋_GB2312" w:hAnsi="宋体" w:eastAsia="仿宋_GB2312"/>
          <w:color w:val="000000" w:themeColor="text1"/>
          <w:sz w:val="28"/>
          <w:szCs w:val="28"/>
        </w:rPr>
        <w:t>，配置成支链淀粉含量为</w:t>
      </w:r>
      <w:r>
        <w:rPr>
          <w:rFonts w:hint="eastAsia" w:ascii="仿宋_GB2312" w:eastAsia="仿宋_GB2312"/>
          <w:color w:val="000000" w:themeColor="text1"/>
          <w:sz w:val="28"/>
          <w:szCs w:val="28"/>
        </w:rPr>
        <w:t>120mg/L</w:t>
      </w:r>
      <w:r>
        <w:rPr>
          <w:rFonts w:hint="eastAsia" w:ascii="仿宋_GB2312" w:hAnsi="宋体" w:eastAsia="仿宋_GB2312"/>
          <w:color w:val="000000" w:themeColor="text1"/>
          <w:sz w:val="28"/>
          <w:szCs w:val="28"/>
        </w:rPr>
        <w:t>的显色液。同时吸取样品空白溶液</w:t>
      </w:r>
      <w:r>
        <w:rPr>
          <w:rFonts w:hint="eastAsia" w:ascii="仿宋_GB2312" w:eastAsia="仿宋_GB2312"/>
          <w:color w:val="000000" w:themeColor="text1"/>
          <w:sz w:val="28"/>
          <w:szCs w:val="28"/>
        </w:rPr>
        <w:t>6mL</w:t>
      </w:r>
      <w:r>
        <w:rPr>
          <w:rFonts w:hint="eastAsia" w:ascii="仿宋_GB2312" w:hAnsi="宋体" w:eastAsia="仿宋_GB2312"/>
          <w:color w:val="000000" w:themeColor="text1"/>
          <w:sz w:val="28"/>
          <w:szCs w:val="28"/>
        </w:rPr>
        <w:t>入</w:t>
      </w:r>
      <w:r>
        <w:rPr>
          <w:rFonts w:hint="eastAsia" w:ascii="仿宋_GB2312" w:eastAsia="仿宋_GB2312"/>
          <w:color w:val="000000" w:themeColor="text1"/>
          <w:sz w:val="28"/>
          <w:szCs w:val="28"/>
        </w:rPr>
        <w:t>50mL</w:t>
      </w:r>
      <w:r>
        <w:rPr>
          <w:rFonts w:hint="eastAsia" w:ascii="仿宋_GB2312" w:hAnsi="宋体" w:eastAsia="仿宋_GB2312"/>
          <w:color w:val="000000" w:themeColor="text1"/>
          <w:sz w:val="28"/>
          <w:szCs w:val="28"/>
        </w:rPr>
        <w:t>容量瓶中，加入</w:t>
      </w:r>
      <w:r>
        <w:rPr>
          <w:rFonts w:hint="eastAsia" w:ascii="仿宋_GB2312" w:eastAsia="仿宋_GB2312"/>
          <w:color w:val="000000" w:themeColor="text1"/>
          <w:sz w:val="28"/>
          <w:szCs w:val="28"/>
        </w:rPr>
        <w:t>1mol/L</w:t>
      </w:r>
      <w:r>
        <w:rPr>
          <w:rFonts w:hint="eastAsia" w:ascii="仿宋_GB2312" w:hAnsi="宋体" w:eastAsia="仿宋_GB2312"/>
          <w:color w:val="000000" w:themeColor="text1"/>
          <w:sz w:val="28"/>
          <w:szCs w:val="28"/>
        </w:rPr>
        <w:t>乙酸溶液</w:t>
      </w:r>
      <w:r>
        <w:rPr>
          <w:rFonts w:hint="eastAsia" w:ascii="仿宋_GB2312" w:eastAsia="仿宋_GB2312"/>
          <w:color w:val="000000" w:themeColor="text1"/>
          <w:sz w:val="28"/>
          <w:szCs w:val="28"/>
        </w:rPr>
        <w:t>2mL</w:t>
      </w:r>
      <w:r>
        <w:rPr>
          <w:rFonts w:hint="eastAsia" w:ascii="仿宋_GB2312" w:hAnsi="宋体" w:eastAsia="仿宋_GB2312"/>
          <w:color w:val="000000" w:themeColor="text1"/>
          <w:sz w:val="28"/>
          <w:szCs w:val="28"/>
        </w:rPr>
        <w:t>及</w:t>
      </w:r>
      <w:r>
        <w:rPr>
          <w:rFonts w:hint="eastAsia" w:ascii="仿宋_GB2312" w:eastAsia="仿宋_GB2312"/>
          <w:color w:val="000000" w:themeColor="text1"/>
          <w:sz w:val="28"/>
          <w:szCs w:val="28"/>
        </w:rPr>
        <w:t>1mL</w:t>
      </w:r>
      <w:r>
        <w:rPr>
          <w:rFonts w:hint="eastAsia" w:ascii="仿宋_GB2312" w:hAnsi="宋体" w:eastAsia="仿宋_GB2312"/>
          <w:color w:val="000000" w:themeColor="text1"/>
          <w:sz w:val="28"/>
          <w:szCs w:val="28"/>
        </w:rPr>
        <w:t>碘试剂，定容到</w:t>
      </w:r>
      <w:r>
        <w:rPr>
          <w:rFonts w:hint="eastAsia" w:ascii="仿宋_GB2312" w:eastAsia="仿宋_GB2312"/>
          <w:color w:val="000000" w:themeColor="text1"/>
          <w:sz w:val="28"/>
          <w:szCs w:val="28"/>
        </w:rPr>
        <w:t>50mL</w:t>
      </w:r>
      <w:r>
        <w:rPr>
          <w:rFonts w:hint="eastAsia" w:ascii="仿宋_GB2312" w:hAnsi="宋体" w:eastAsia="仿宋_GB2312"/>
          <w:color w:val="000000" w:themeColor="text1"/>
          <w:sz w:val="28"/>
          <w:szCs w:val="28"/>
        </w:rPr>
        <w:t>，以试剂空白为参比直链淀粉显色液在</w:t>
      </w:r>
      <w:r>
        <w:rPr>
          <w:rFonts w:hint="eastAsia" w:ascii="仿宋_GB2312" w:eastAsia="仿宋_GB2312"/>
          <w:color w:val="000000" w:themeColor="text1"/>
          <w:sz w:val="28"/>
          <w:szCs w:val="28"/>
        </w:rPr>
        <w:t>427nm</w:t>
      </w:r>
      <w:r>
        <w:rPr>
          <w:rFonts w:hint="eastAsia" w:ascii="仿宋_GB2312" w:hAnsi="宋体" w:eastAsia="仿宋_GB2312"/>
          <w:color w:val="000000" w:themeColor="text1"/>
          <w:sz w:val="28"/>
          <w:szCs w:val="28"/>
        </w:rPr>
        <w:t>，</w:t>
      </w:r>
      <w:r>
        <w:rPr>
          <w:rFonts w:hint="eastAsia" w:ascii="仿宋_GB2312" w:eastAsia="仿宋_GB2312"/>
          <w:color w:val="000000" w:themeColor="text1"/>
          <w:sz w:val="28"/>
          <w:szCs w:val="28"/>
        </w:rPr>
        <w:t>630nm</w:t>
      </w:r>
      <w:r>
        <w:rPr>
          <w:rFonts w:hint="eastAsia" w:ascii="仿宋_GB2312" w:hAnsi="宋体" w:eastAsia="仿宋_GB2312"/>
          <w:color w:val="000000" w:themeColor="text1"/>
          <w:sz w:val="28"/>
          <w:szCs w:val="28"/>
        </w:rPr>
        <w:t>处测定吸光度，支链淀粉显色液在</w:t>
      </w:r>
      <w:r>
        <w:rPr>
          <w:rFonts w:hint="eastAsia" w:ascii="仿宋_GB2312" w:eastAsia="仿宋_GB2312"/>
          <w:color w:val="000000" w:themeColor="text1"/>
          <w:sz w:val="28"/>
          <w:szCs w:val="28"/>
        </w:rPr>
        <w:t>530nm</w:t>
      </w:r>
      <w:r>
        <w:rPr>
          <w:rFonts w:hint="eastAsia" w:ascii="仿宋_GB2312" w:hAnsi="宋体" w:eastAsia="仿宋_GB2312"/>
          <w:color w:val="000000" w:themeColor="text1"/>
          <w:sz w:val="28"/>
          <w:szCs w:val="28"/>
        </w:rPr>
        <w:t>，</w:t>
      </w:r>
      <w:r>
        <w:rPr>
          <w:rFonts w:hint="eastAsia" w:ascii="仿宋_GB2312" w:eastAsia="仿宋_GB2312"/>
          <w:color w:val="000000" w:themeColor="text1"/>
          <w:sz w:val="28"/>
          <w:szCs w:val="28"/>
        </w:rPr>
        <w:t>757nm</w:t>
      </w:r>
      <w:r>
        <w:rPr>
          <w:rFonts w:hint="eastAsia" w:ascii="仿宋_GB2312" w:hAnsi="宋体" w:eastAsia="仿宋_GB2312"/>
          <w:color w:val="000000" w:themeColor="text1"/>
          <w:sz w:val="28"/>
          <w:szCs w:val="28"/>
        </w:rPr>
        <w:t>处测定吸光度，每间隔</w:t>
      </w:r>
      <w:r>
        <w:rPr>
          <w:rFonts w:hint="eastAsia" w:ascii="仿宋_GB2312" w:eastAsia="仿宋_GB2312"/>
          <w:color w:val="000000" w:themeColor="text1"/>
          <w:sz w:val="28"/>
          <w:szCs w:val="28"/>
        </w:rPr>
        <w:t>10min</w:t>
      </w:r>
      <w:r>
        <w:rPr>
          <w:rFonts w:hint="eastAsia" w:ascii="仿宋_GB2312" w:hAnsi="宋体" w:eastAsia="仿宋_GB2312"/>
          <w:color w:val="000000" w:themeColor="text1"/>
          <w:sz w:val="28"/>
          <w:szCs w:val="28"/>
        </w:rPr>
        <w:t>测定一次吸光度，吸光度差值和测定时间如下表，表明直链和支链淀粉标准溶液在</w:t>
      </w:r>
      <w:r>
        <w:rPr>
          <w:rFonts w:hint="eastAsia" w:ascii="仿宋_GB2312" w:eastAsia="仿宋_GB2312"/>
          <w:color w:val="000000" w:themeColor="text1"/>
          <w:sz w:val="28"/>
          <w:szCs w:val="28"/>
        </w:rPr>
        <w:t>30min</w:t>
      </w:r>
      <w:r>
        <w:rPr>
          <w:rFonts w:hint="eastAsia" w:ascii="仿宋_GB2312" w:hAnsi="宋体" w:eastAsia="仿宋_GB2312"/>
          <w:color w:val="000000" w:themeColor="text1"/>
          <w:sz w:val="28"/>
          <w:szCs w:val="28"/>
        </w:rPr>
        <w:t>后基本上稳定，表</w:t>
      </w:r>
      <w:r>
        <w:rPr>
          <w:rFonts w:hint="eastAsia" w:ascii="仿宋_GB2312" w:eastAsia="仿宋_GB2312"/>
          <w:color w:val="000000" w:themeColor="text1"/>
          <w:sz w:val="28"/>
          <w:szCs w:val="28"/>
        </w:rPr>
        <w:t>4</w:t>
      </w:r>
      <w:r>
        <w:rPr>
          <w:rFonts w:hint="eastAsia" w:ascii="仿宋_GB2312" w:hAnsi="宋体" w:eastAsia="仿宋_GB2312"/>
          <w:color w:val="000000" w:themeColor="text1"/>
          <w:sz w:val="28"/>
          <w:szCs w:val="28"/>
        </w:rPr>
        <w:t>，表</w:t>
      </w:r>
      <w:r>
        <w:rPr>
          <w:rFonts w:hint="eastAsia" w:ascii="仿宋_GB2312" w:eastAsia="仿宋_GB2312"/>
          <w:color w:val="000000" w:themeColor="text1"/>
          <w:sz w:val="28"/>
          <w:szCs w:val="28"/>
        </w:rPr>
        <w:t>5</w:t>
      </w:r>
      <w:r>
        <w:rPr>
          <w:rFonts w:hint="eastAsia" w:ascii="仿宋_GB2312" w:hAnsi="宋体" w:eastAsia="仿宋_GB2312"/>
          <w:color w:val="000000" w:themeColor="text1"/>
          <w:sz w:val="28"/>
          <w:szCs w:val="28"/>
        </w:rPr>
        <w:t>。因此本实验的显色时间为</w:t>
      </w:r>
      <w:r>
        <w:rPr>
          <w:rFonts w:hint="eastAsia" w:ascii="仿宋_GB2312" w:eastAsia="仿宋_GB2312"/>
          <w:color w:val="000000" w:themeColor="text1"/>
          <w:sz w:val="28"/>
          <w:szCs w:val="28"/>
        </w:rPr>
        <w:t>30min.</w:t>
      </w:r>
    </w:p>
    <w:p>
      <w:pPr>
        <w:autoSpaceDE w:val="0"/>
        <w:autoSpaceDN w:val="0"/>
        <w:spacing w:line="360" w:lineRule="auto"/>
        <w:ind w:firstLine="405"/>
        <w:jc w:val="center"/>
        <w:rPr>
          <w:color w:val="000000" w:themeColor="text1"/>
          <w:sz w:val="24"/>
        </w:rPr>
      </w:pPr>
      <w:r>
        <w:rPr>
          <w:rFonts w:hAnsi="宋体"/>
          <w:color w:val="000000" w:themeColor="text1"/>
          <w:sz w:val="24"/>
        </w:rPr>
        <w:t>表</w:t>
      </w:r>
      <w:r>
        <w:rPr>
          <w:color w:val="000000" w:themeColor="text1"/>
          <w:sz w:val="24"/>
        </w:rPr>
        <w:t xml:space="preserve">4 </w:t>
      </w:r>
      <w:r>
        <w:rPr>
          <w:rFonts w:hAnsi="宋体"/>
          <w:color w:val="000000" w:themeColor="text1"/>
          <w:sz w:val="24"/>
        </w:rPr>
        <w:t>直链淀粉稳定性实验数据</w:t>
      </w:r>
    </w:p>
    <w:tbl>
      <w:tblPr>
        <w:tblStyle w:val="10"/>
        <w:tblW w:w="8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0"/>
        <w:gridCol w:w="1025"/>
        <w:gridCol w:w="1025"/>
        <w:gridCol w:w="1024"/>
        <w:gridCol w:w="1024"/>
        <w:gridCol w:w="1024"/>
        <w:gridCol w:w="1024"/>
        <w:gridCol w:w="10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70" w:type="dxa"/>
            <w:shd w:val="clear" w:color="auto" w:fill="auto"/>
            <w:noWrap/>
            <w:vAlign w:val="bottom"/>
          </w:tcPr>
          <w:p>
            <w:pPr>
              <w:rPr>
                <w:color w:val="000000" w:themeColor="text1"/>
                <w:sz w:val="24"/>
              </w:rPr>
            </w:pPr>
            <w:r>
              <w:rPr>
                <w:rFonts w:hAnsi="宋体"/>
                <w:color w:val="000000" w:themeColor="text1"/>
                <w:sz w:val="24"/>
              </w:rPr>
              <w:t>时间（</w:t>
            </w:r>
            <w:r>
              <w:rPr>
                <w:color w:val="000000" w:themeColor="text1"/>
                <w:sz w:val="24"/>
              </w:rPr>
              <w:t>min)</w:t>
            </w:r>
          </w:p>
        </w:tc>
        <w:tc>
          <w:tcPr>
            <w:tcW w:w="1025" w:type="dxa"/>
            <w:shd w:val="clear" w:color="auto" w:fill="auto"/>
            <w:noWrap/>
            <w:vAlign w:val="bottom"/>
          </w:tcPr>
          <w:p>
            <w:pPr>
              <w:jc w:val="right"/>
              <w:rPr>
                <w:color w:val="000000" w:themeColor="text1"/>
                <w:sz w:val="24"/>
              </w:rPr>
            </w:pPr>
            <w:r>
              <w:rPr>
                <w:color w:val="000000" w:themeColor="text1"/>
                <w:sz w:val="24"/>
              </w:rPr>
              <w:t>10</w:t>
            </w:r>
          </w:p>
        </w:tc>
        <w:tc>
          <w:tcPr>
            <w:tcW w:w="1025" w:type="dxa"/>
            <w:shd w:val="clear" w:color="auto" w:fill="auto"/>
            <w:noWrap/>
            <w:vAlign w:val="bottom"/>
          </w:tcPr>
          <w:p>
            <w:pPr>
              <w:jc w:val="right"/>
              <w:rPr>
                <w:color w:val="000000" w:themeColor="text1"/>
                <w:sz w:val="24"/>
              </w:rPr>
            </w:pPr>
            <w:r>
              <w:rPr>
                <w:color w:val="000000" w:themeColor="text1"/>
                <w:sz w:val="24"/>
              </w:rPr>
              <w:t>20</w:t>
            </w:r>
          </w:p>
        </w:tc>
        <w:tc>
          <w:tcPr>
            <w:tcW w:w="1024" w:type="dxa"/>
            <w:shd w:val="clear" w:color="auto" w:fill="auto"/>
            <w:noWrap/>
            <w:vAlign w:val="bottom"/>
          </w:tcPr>
          <w:p>
            <w:pPr>
              <w:jc w:val="right"/>
              <w:rPr>
                <w:color w:val="000000" w:themeColor="text1"/>
                <w:sz w:val="24"/>
              </w:rPr>
            </w:pPr>
            <w:r>
              <w:rPr>
                <w:color w:val="000000" w:themeColor="text1"/>
                <w:sz w:val="24"/>
              </w:rPr>
              <w:t>30</w:t>
            </w:r>
          </w:p>
        </w:tc>
        <w:tc>
          <w:tcPr>
            <w:tcW w:w="1024" w:type="dxa"/>
            <w:shd w:val="clear" w:color="auto" w:fill="auto"/>
            <w:noWrap/>
            <w:vAlign w:val="bottom"/>
          </w:tcPr>
          <w:p>
            <w:pPr>
              <w:jc w:val="right"/>
              <w:rPr>
                <w:color w:val="000000" w:themeColor="text1"/>
                <w:sz w:val="24"/>
              </w:rPr>
            </w:pPr>
            <w:r>
              <w:rPr>
                <w:color w:val="000000" w:themeColor="text1"/>
                <w:sz w:val="24"/>
              </w:rPr>
              <w:t>40</w:t>
            </w:r>
          </w:p>
        </w:tc>
        <w:tc>
          <w:tcPr>
            <w:tcW w:w="1024" w:type="dxa"/>
            <w:shd w:val="clear" w:color="auto" w:fill="auto"/>
            <w:noWrap/>
            <w:vAlign w:val="bottom"/>
          </w:tcPr>
          <w:p>
            <w:pPr>
              <w:jc w:val="right"/>
              <w:rPr>
                <w:color w:val="000000" w:themeColor="text1"/>
                <w:sz w:val="24"/>
              </w:rPr>
            </w:pPr>
            <w:r>
              <w:rPr>
                <w:color w:val="000000" w:themeColor="text1"/>
                <w:sz w:val="24"/>
              </w:rPr>
              <w:t>50</w:t>
            </w:r>
          </w:p>
        </w:tc>
        <w:tc>
          <w:tcPr>
            <w:tcW w:w="1024" w:type="dxa"/>
            <w:shd w:val="clear" w:color="auto" w:fill="auto"/>
            <w:noWrap/>
            <w:vAlign w:val="bottom"/>
          </w:tcPr>
          <w:p>
            <w:pPr>
              <w:jc w:val="right"/>
              <w:rPr>
                <w:color w:val="000000" w:themeColor="text1"/>
                <w:sz w:val="24"/>
              </w:rPr>
            </w:pPr>
            <w:r>
              <w:rPr>
                <w:color w:val="000000" w:themeColor="text1"/>
                <w:sz w:val="24"/>
              </w:rPr>
              <w:t>60</w:t>
            </w:r>
          </w:p>
        </w:tc>
        <w:tc>
          <w:tcPr>
            <w:tcW w:w="1024" w:type="dxa"/>
            <w:shd w:val="clear" w:color="auto" w:fill="auto"/>
            <w:noWrap/>
            <w:vAlign w:val="bottom"/>
          </w:tcPr>
          <w:p>
            <w:pPr>
              <w:jc w:val="right"/>
              <w:rPr>
                <w:color w:val="000000" w:themeColor="text1"/>
                <w:sz w:val="24"/>
              </w:rPr>
            </w:pPr>
            <w:r>
              <w:rPr>
                <w:color w:val="000000" w:themeColor="text1"/>
                <w:sz w:val="24"/>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70" w:type="dxa"/>
            <w:shd w:val="clear" w:color="auto" w:fill="auto"/>
            <w:noWrap/>
            <w:vAlign w:val="bottom"/>
          </w:tcPr>
          <w:p>
            <w:pPr>
              <w:rPr>
                <w:color w:val="000000" w:themeColor="text1"/>
                <w:sz w:val="24"/>
              </w:rPr>
            </w:pPr>
            <w:r>
              <w:rPr>
                <w:rFonts w:hAnsi="宋体"/>
                <w:color w:val="000000" w:themeColor="text1"/>
                <w:sz w:val="24"/>
              </w:rPr>
              <w:t>吸光度差值（</w:t>
            </w:r>
            <w:r>
              <w:rPr>
                <w:color w:val="000000" w:themeColor="text1"/>
                <w:sz w:val="24"/>
              </w:rPr>
              <w:t>Abs)</w:t>
            </w:r>
          </w:p>
        </w:tc>
        <w:tc>
          <w:tcPr>
            <w:tcW w:w="1025" w:type="dxa"/>
            <w:shd w:val="clear" w:color="auto" w:fill="auto"/>
            <w:noWrap/>
            <w:vAlign w:val="bottom"/>
          </w:tcPr>
          <w:p>
            <w:pPr>
              <w:jc w:val="right"/>
              <w:rPr>
                <w:color w:val="000000" w:themeColor="text1"/>
                <w:sz w:val="24"/>
              </w:rPr>
            </w:pPr>
            <w:r>
              <w:rPr>
                <w:color w:val="000000" w:themeColor="text1"/>
                <w:sz w:val="24"/>
              </w:rPr>
              <w:t>0.7839</w:t>
            </w:r>
          </w:p>
        </w:tc>
        <w:tc>
          <w:tcPr>
            <w:tcW w:w="1025" w:type="dxa"/>
            <w:shd w:val="clear" w:color="auto" w:fill="auto"/>
            <w:noWrap/>
            <w:vAlign w:val="bottom"/>
          </w:tcPr>
          <w:p>
            <w:pPr>
              <w:jc w:val="right"/>
              <w:rPr>
                <w:color w:val="000000" w:themeColor="text1"/>
                <w:sz w:val="24"/>
              </w:rPr>
            </w:pPr>
            <w:r>
              <w:rPr>
                <w:color w:val="000000" w:themeColor="text1"/>
                <w:sz w:val="24"/>
              </w:rPr>
              <w:t>0.7831</w:t>
            </w:r>
          </w:p>
        </w:tc>
        <w:tc>
          <w:tcPr>
            <w:tcW w:w="1024" w:type="dxa"/>
            <w:shd w:val="clear" w:color="auto" w:fill="auto"/>
            <w:noWrap/>
            <w:vAlign w:val="bottom"/>
          </w:tcPr>
          <w:p>
            <w:pPr>
              <w:jc w:val="right"/>
              <w:rPr>
                <w:color w:val="000000" w:themeColor="text1"/>
                <w:sz w:val="24"/>
              </w:rPr>
            </w:pPr>
            <w:r>
              <w:rPr>
                <w:color w:val="000000" w:themeColor="text1"/>
                <w:sz w:val="24"/>
              </w:rPr>
              <w:t>0.7826</w:t>
            </w:r>
          </w:p>
        </w:tc>
        <w:tc>
          <w:tcPr>
            <w:tcW w:w="1024" w:type="dxa"/>
            <w:shd w:val="clear" w:color="auto" w:fill="auto"/>
            <w:noWrap/>
            <w:vAlign w:val="bottom"/>
          </w:tcPr>
          <w:p>
            <w:pPr>
              <w:jc w:val="right"/>
              <w:rPr>
                <w:color w:val="000000" w:themeColor="text1"/>
                <w:sz w:val="24"/>
              </w:rPr>
            </w:pPr>
            <w:r>
              <w:rPr>
                <w:color w:val="000000" w:themeColor="text1"/>
                <w:sz w:val="24"/>
              </w:rPr>
              <w:t>0.785</w:t>
            </w:r>
          </w:p>
        </w:tc>
        <w:tc>
          <w:tcPr>
            <w:tcW w:w="1024" w:type="dxa"/>
            <w:shd w:val="clear" w:color="auto" w:fill="auto"/>
            <w:noWrap/>
            <w:vAlign w:val="bottom"/>
          </w:tcPr>
          <w:p>
            <w:pPr>
              <w:jc w:val="right"/>
              <w:rPr>
                <w:color w:val="000000" w:themeColor="text1"/>
                <w:sz w:val="24"/>
              </w:rPr>
            </w:pPr>
            <w:r>
              <w:rPr>
                <w:color w:val="000000" w:themeColor="text1"/>
                <w:sz w:val="24"/>
              </w:rPr>
              <w:t>0.7848</w:t>
            </w:r>
          </w:p>
        </w:tc>
        <w:tc>
          <w:tcPr>
            <w:tcW w:w="1024" w:type="dxa"/>
            <w:shd w:val="clear" w:color="auto" w:fill="auto"/>
            <w:noWrap/>
            <w:vAlign w:val="bottom"/>
          </w:tcPr>
          <w:p>
            <w:pPr>
              <w:jc w:val="right"/>
              <w:rPr>
                <w:color w:val="000000" w:themeColor="text1"/>
                <w:sz w:val="24"/>
              </w:rPr>
            </w:pPr>
            <w:r>
              <w:rPr>
                <w:color w:val="000000" w:themeColor="text1"/>
                <w:sz w:val="24"/>
              </w:rPr>
              <w:t>0.7853</w:t>
            </w:r>
          </w:p>
        </w:tc>
        <w:tc>
          <w:tcPr>
            <w:tcW w:w="1024" w:type="dxa"/>
            <w:shd w:val="clear" w:color="auto" w:fill="auto"/>
            <w:noWrap/>
            <w:vAlign w:val="bottom"/>
          </w:tcPr>
          <w:p>
            <w:pPr>
              <w:jc w:val="right"/>
              <w:rPr>
                <w:color w:val="000000" w:themeColor="text1"/>
                <w:sz w:val="24"/>
              </w:rPr>
            </w:pPr>
            <w:r>
              <w:rPr>
                <w:color w:val="000000" w:themeColor="text1"/>
                <w:sz w:val="24"/>
              </w:rPr>
              <w:t>0.7858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70" w:type="dxa"/>
            <w:shd w:val="clear" w:color="auto" w:fill="auto"/>
            <w:noWrap/>
            <w:vAlign w:val="bottom"/>
          </w:tcPr>
          <w:p>
            <w:pPr>
              <w:rPr>
                <w:color w:val="000000" w:themeColor="text1"/>
                <w:sz w:val="24"/>
              </w:rPr>
            </w:pPr>
            <w:r>
              <w:rPr>
                <w:rFonts w:hAnsi="宋体"/>
                <w:color w:val="000000" w:themeColor="text1"/>
                <w:sz w:val="24"/>
              </w:rPr>
              <w:t>时间（</w:t>
            </w:r>
            <w:r>
              <w:rPr>
                <w:color w:val="000000" w:themeColor="text1"/>
                <w:sz w:val="24"/>
              </w:rPr>
              <w:t>min)</w:t>
            </w:r>
          </w:p>
        </w:tc>
        <w:tc>
          <w:tcPr>
            <w:tcW w:w="1025" w:type="dxa"/>
            <w:shd w:val="clear" w:color="auto" w:fill="auto"/>
            <w:noWrap/>
            <w:vAlign w:val="bottom"/>
          </w:tcPr>
          <w:p>
            <w:pPr>
              <w:jc w:val="right"/>
              <w:rPr>
                <w:color w:val="000000" w:themeColor="text1"/>
                <w:sz w:val="24"/>
              </w:rPr>
            </w:pPr>
            <w:r>
              <w:rPr>
                <w:color w:val="000000" w:themeColor="text1"/>
                <w:sz w:val="24"/>
              </w:rPr>
              <w:t>80</w:t>
            </w:r>
          </w:p>
        </w:tc>
        <w:tc>
          <w:tcPr>
            <w:tcW w:w="1025" w:type="dxa"/>
            <w:shd w:val="clear" w:color="auto" w:fill="auto"/>
            <w:noWrap/>
            <w:vAlign w:val="bottom"/>
          </w:tcPr>
          <w:p>
            <w:pPr>
              <w:jc w:val="right"/>
              <w:rPr>
                <w:color w:val="000000" w:themeColor="text1"/>
                <w:sz w:val="24"/>
              </w:rPr>
            </w:pPr>
            <w:r>
              <w:rPr>
                <w:color w:val="000000" w:themeColor="text1"/>
                <w:sz w:val="24"/>
              </w:rPr>
              <w:t>90</w:t>
            </w:r>
          </w:p>
        </w:tc>
        <w:tc>
          <w:tcPr>
            <w:tcW w:w="1024" w:type="dxa"/>
            <w:shd w:val="clear" w:color="auto" w:fill="auto"/>
            <w:noWrap/>
            <w:vAlign w:val="bottom"/>
          </w:tcPr>
          <w:p>
            <w:pPr>
              <w:jc w:val="right"/>
              <w:rPr>
                <w:color w:val="000000" w:themeColor="text1"/>
                <w:sz w:val="24"/>
              </w:rPr>
            </w:pPr>
            <w:r>
              <w:rPr>
                <w:color w:val="000000" w:themeColor="text1"/>
                <w:sz w:val="24"/>
              </w:rPr>
              <w:t>100</w:t>
            </w:r>
          </w:p>
        </w:tc>
        <w:tc>
          <w:tcPr>
            <w:tcW w:w="1024" w:type="dxa"/>
            <w:shd w:val="clear" w:color="auto" w:fill="auto"/>
            <w:noWrap/>
            <w:vAlign w:val="bottom"/>
          </w:tcPr>
          <w:p>
            <w:pPr>
              <w:jc w:val="right"/>
              <w:rPr>
                <w:color w:val="000000" w:themeColor="text1"/>
                <w:sz w:val="24"/>
              </w:rPr>
            </w:pPr>
            <w:r>
              <w:rPr>
                <w:color w:val="000000" w:themeColor="text1"/>
                <w:sz w:val="24"/>
              </w:rPr>
              <w:t>110</w:t>
            </w:r>
          </w:p>
        </w:tc>
        <w:tc>
          <w:tcPr>
            <w:tcW w:w="1024" w:type="dxa"/>
            <w:shd w:val="clear" w:color="auto" w:fill="auto"/>
            <w:noWrap/>
            <w:vAlign w:val="bottom"/>
          </w:tcPr>
          <w:p>
            <w:pPr>
              <w:jc w:val="right"/>
              <w:rPr>
                <w:color w:val="000000" w:themeColor="text1"/>
                <w:sz w:val="24"/>
              </w:rPr>
            </w:pPr>
            <w:r>
              <w:rPr>
                <w:color w:val="000000" w:themeColor="text1"/>
                <w:sz w:val="24"/>
              </w:rPr>
              <w:t>120</w:t>
            </w:r>
          </w:p>
        </w:tc>
        <w:tc>
          <w:tcPr>
            <w:tcW w:w="1024" w:type="dxa"/>
            <w:shd w:val="clear" w:color="auto" w:fill="auto"/>
            <w:noWrap/>
            <w:vAlign w:val="bottom"/>
          </w:tcPr>
          <w:p>
            <w:pPr>
              <w:jc w:val="right"/>
              <w:rPr>
                <w:color w:val="000000" w:themeColor="text1"/>
                <w:sz w:val="24"/>
              </w:rPr>
            </w:pPr>
            <w:r>
              <w:rPr>
                <w:color w:val="000000" w:themeColor="text1"/>
                <w:sz w:val="24"/>
              </w:rPr>
              <w:t>130</w:t>
            </w:r>
          </w:p>
        </w:tc>
        <w:tc>
          <w:tcPr>
            <w:tcW w:w="1024" w:type="dxa"/>
            <w:shd w:val="clear" w:color="auto" w:fill="auto"/>
            <w:noWrap/>
            <w:vAlign w:val="bottom"/>
          </w:tcPr>
          <w:p>
            <w:pPr>
              <w:jc w:val="right"/>
              <w:rPr>
                <w:color w:val="000000" w:themeColor="text1"/>
                <w:sz w:val="24"/>
              </w:rPr>
            </w:pPr>
            <w:r>
              <w:rPr>
                <w:color w:val="000000" w:themeColor="text1"/>
                <w:sz w:val="24"/>
              </w:rP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70" w:type="dxa"/>
            <w:shd w:val="clear" w:color="auto" w:fill="auto"/>
            <w:noWrap/>
            <w:vAlign w:val="bottom"/>
          </w:tcPr>
          <w:p>
            <w:pPr>
              <w:rPr>
                <w:color w:val="000000" w:themeColor="text1"/>
                <w:sz w:val="24"/>
              </w:rPr>
            </w:pPr>
            <w:r>
              <w:rPr>
                <w:rFonts w:hAnsi="宋体"/>
                <w:color w:val="000000" w:themeColor="text1"/>
                <w:sz w:val="24"/>
              </w:rPr>
              <w:t>吸光度差值（</w:t>
            </w:r>
            <w:r>
              <w:rPr>
                <w:color w:val="000000" w:themeColor="text1"/>
                <w:sz w:val="24"/>
              </w:rPr>
              <w:t>Abs)</w:t>
            </w:r>
          </w:p>
        </w:tc>
        <w:tc>
          <w:tcPr>
            <w:tcW w:w="1025" w:type="dxa"/>
            <w:shd w:val="clear" w:color="auto" w:fill="auto"/>
            <w:noWrap/>
            <w:vAlign w:val="bottom"/>
          </w:tcPr>
          <w:p>
            <w:pPr>
              <w:jc w:val="right"/>
              <w:rPr>
                <w:color w:val="000000" w:themeColor="text1"/>
                <w:sz w:val="24"/>
              </w:rPr>
            </w:pPr>
            <w:r>
              <w:rPr>
                <w:color w:val="000000" w:themeColor="text1"/>
                <w:sz w:val="24"/>
              </w:rPr>
              <w:t>0.7862</w:t>
            </w:r>
          </w:p>
        </w:tc>
        <w:tc>
          <w:tcPr>
            <w:tcW w:w="1025" w:type="dxa"/>
            <w:shd w:val="clear" w:color="auto" w:fill="auto"/>
            <w:noWrap/>
            <w:vAlign w:val="bottom"/>
          </w:tcPr>
          <w:p>
            <w:pPr>
              <w:jc w:val="right"/>
              <w:rPr>
                <w:color w:val="000000" w:themeColor="text1"/>
                <w:sz w:val="24"/>
              </w:rPr>
            </w:pPr>
            <w:r>
              <w:rPr>
                <w:color w:val="000000" w:themeColor="text1"/>
                <w:sz w:val="24"/>
              </w:rPr>
              <w:t>0.7861</w:t>
            </w:r>
          </w:p>
        </w:tc>
        <w:tc>
          <w:tcPr>
            <w:tcW w:w="1024" w:type="dxa"/>
            <w:shd w:val="clear" w:color="auto" w:fill="auto"/>
            <w:noWrap/>
            <w:vAlign w:val="bottom"/>
          </w:tcPr>
          <w:p>
            <w:pPr>
              <w:jc w:val="right"/>
              <w:rPr>
                <w:color w:val="000000" w:themeColor="text1"/>
                <w:sz w:val="24"/>
              </w:rPr>
            </w:pPr>
            <w:r>
              <w:rPr>
                <w:color w:val="000000" w:themeColor="text1"/>
                <w:sz w:val="24"/>
              </w:rPr>
              <w:t>0.7868</w:t>
            </w:r>
          </w:p>
        </w:tc>
        <w:tc>
          <w:tcPr>
            <w:tcW w:w="1024" w:type="dxa"/>
            <w:shd w:val="clear" w:color="auto" w:fill="auto"/>
            <w:noWrap/>
            <w:vAlign w:val="bottom"/>
          </w:tcPr>
          <w:p>
            <w:pPr>
              <w:jc w:val="right"/>
              <w:rPr>
                <w:color w:val="000000" w:themeColor="text1"/>
                <w:sz w:val="24"/>
              </w:rPr>
            </w:pPr>
            <w:r>
              <w:rPr>
                <w:color w:val="000000" w:themeColor="text1"/>
                <w:sz w:val="24"/>
              </w:rPr>
              <w:t>0.7868</w:t>
            </w:r>
          </w:p>
        </w:tc>
        <w:tc>
          <w:tcPr>
            <w:tcW w:w="1024" w:type="dxa"/>
            <w:shd w:val="clear" w:color="auto" w:fill="auto"/>
            <w:noWrap/>
            <w:vAlign w:val="bottom"/>
          </w:tcPr>
          <w:p>
            <w:pPr>
              <w:jc w:val="right"/>
              <w:rPr>
                <w:color w:val="000000" w:themeColor="text1"/>
                <w:sz w:val="24"/>
              </w:rPr>
            </w:pPr>
            <w:r>
              <w:rPr>
                <w:color w:val="000000" w:themeColor="text1"/>
                <w:sz w:val="24"/>
              </w:rPr>
              <w:t>0.7864</w:t>
            </w:r>
          </w:p>
        </w:tc>
        <w:tc>
          <w:tcPr>
            <w:tcW w:w="1024" w:type="dxa"/>
            <w:shd w:val="clear" w:color="auto" w:fill="auto"/>
            <w:noWrap/>
            <w:vAlign w:val="bottom"/>
          </w:tcPr>
          <w:p>
            <w:pPr>
              <w:jc w:val="right"/>
              <w:rPr>
                <w:color w:val="000000" w:themeColor="text1"/>
                <w:sz w:val="24"/>
              </w:rPr>
            </w:pPr>
            <w:r>
              <w:rPr>
                <w:color w:val="000000" w:themeColor="text1"/>
                <w:sz w:val="24"/>
              </w:rPr>
              <w:t>0.7872</w:t>
            </w:r>
          </w:p>
        </w:tc>
        <w:tc>
          <w:tcPr>
            <w:tcW w:w="1024" w:type="dxa"/>
            <w:shd w:val="clear" w:color="auto" w:fill="auto"/>
            <w:noWrap/>
            <w:vAlign w:val="bottom"/>
          </w:tcPr>
          <w:p>
            <w:pPr>
              <w:jc w:val="right"/>
              <w:rPr>
                <w:color w:val="000000" w:themeColor="text1"/>
                <w:sz w:val="24"/>
              </w:rPr>
            </w:pPr>
            <w:r>
              <w:rPr>
                <w:color w:val="000000" w:themeColor="text1"/>
                <w:sz w:val="24"/>
              </w:rPr>
              <w:t>0.795</w:t>
            </w:r>
          </w:p>
        </w:tc>
      </w:tr>
    </w:tbl>
    <w:p>
      <w:pPr>
        <w:ind w:firstLine="270"/>
        <w:rPr>
          <w:color w:val="000000" w:themeColor="text1"/>
          <w:sz w:val="24"/>
        </w:rPr>
      </w:pPr>
    </w:p>
    <w:p>
      <w:pPr>
        <w:autoSpaceDE w:val="0"/>
        <w:autoSpaceDN w:val="0"/>
        <w:spacing w:line="360" w:lineRule="auto"/>
        <w:ind w:firstLine="405"/>
        <w:jc w:val="center"/>
        <w:rPr>
          <w:color w:val="000000" w:themeColor="text1"/>
          <w:sz w:val="24"/>
        </w:rPr>
      </w:pPr>
      <w:r>
        <w:rPr>
          <w:rFonts w:hAnsi="宋体"/>
          <w:color w:val="000000" w:themeColor="text1"/>
          <w:sz w:val="24"/>
        </w:rPr>
        <w:t>表</w:t>
      </w:r>
      <w:r>
        <w:rPr>
          <w:color w:val="000000" w:themeColor="text1"/>
          <w:sz w:val="24"/>
        </w:rPr>
        <w:t>5</w:t>
      </w:r>
      <w:r>
        <w:rPr>
          <w:rFonts w:hAnsi="宋体"/>
          <w:color w:val="000000" w:themeColor="text1"/>
          <w:sz w:val="24"/>
        </w:rPr>
        <w:t>支链淀粉稳定性实验数据</w:t>
      </w:r>
    </w:p>
    <w:tbl>
      <w:tblPr>
        <w:tblStyle w:val="10"/>
        <w:tblW w:w="8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0"/>
        <w:gridCol w:w="1025"/>
        <w:gridCol w:w="1025"/>
        <w:gridCol w:w="1024"/>
        <w:gridCol w:w="1024"/>
        <w:gridCol w:w="1024"/>
        <w:gridCol w:w="1024"/>
        <w:gridCol w:w="10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70" w:type="dxa"/>
            <w:shd w:val="clear" w:color="auto" w:fill="auto"/>
            <w:noWrap/>
            <w:vAlign w:val="bottom"/>
          </w:tcPr>
          <w:p>
            <w:pPr>
              <w:rPr>
                <w:color w:val="000000" w:themeColor="text1"/>
                <w:sz w:val="24"/>
              </w:rPr>
            </w:pPr>
            <w:r>
              <w:rPr>
                <w:rFonts w:hAnsi="宋体"/>
                <w:color w:val="000000" w:themeColor="text1"/>
                <w:sz w:val="24"/>
              </w:rPr>
              <w:t>时间（</w:t>
            </w:r>
            <w:r>
              <w:rPr>
                <w:color w:val="000000" w:themeColor="text1"/>
                <w:sz w:val="24"/>
              </w:rPr>
              <w:t>min)</w:t>
            </w:r>
          </w:p>
        </w:tc>
        <w:tc>
          <w:tcPr>
            <w:tcW w:w="1025" w:type="dxa"/>
            <w:shd w:val="clear" w:color="auto" w:fill="auto"/>
            <w:noWrap/>
            <w:vAlign w:val="bottom"/>
          </w:tcPr>
          <w:p>
            <w:pPr>
              <w:jc w:val="right"/>
              <w:rPr>
                <w:color w:val="000000" w:themeColor="text1"/>
                <w:sz w:val="24"/>
              </w:rPr>
            </w:pPr>
            <w:r>
              <w:rPr>
                <w:color w:val="000000" w:themeColor="text1"/>
                <w:sz w:val="24"/>
              </w:rPr>
              <w:t>10</w:t>
            </w:r>
          </w:p>
        </w:tc>
        <w:tc>
          <w:tcPr>
            <w:tcW w:w="1025" w:type="dxa"/>
            <w:shd w:val="clear" w:color="auto" w:fill="auto"/>
            <w:noWrap/>
            <w:vAlign w:val="bottom"/>
          </w:tcPr>
          <w:p>
            <w:pPr>
              <w:jc w:val="right"/>
              <w:rPr>
                <w:color w:val="000000" w:themeColor="text1"/>
                <w:sz w:val="24"/>
              </w:rPr>
            </w:pPr>
            <w:r>
              <w:rPr>
                <w:color w:val="000000" w:themeColor="text1"/>
                <w:sz w:val="24"/>
              </w:rPr>
              <w:t>20</w:t>
            </w:r>
          </w:p>
        </w:tc>
        <w:tc>
          <w:tcPr>
            <w:tcW w:w="1024" w:type="dxa"/>
            <w:shd w:val="clear" w:color="auto" w:fill="auto"/>
            <w:noWrap/>
            <w:vAlign w:val="bottom"/>
          </w:tcPr>
          <w:p>
            <w:pPr>
              <w:jc w:val="right"/>
              <w:rPr>
                <w:color w:val="000000" w:themeColor="text1"/>
                <w:sz w:val="24"/>
              </w:rPr>
            </w:pPr>
            <w:r>
              <w:rPr>
                <w:color w:val="000000" w:themeColor="text1"/>
                <w:sz w:val="24"/>
              </w:rPr>
              <w:t>30</w:t>
            </w:r>
          </w:p>
        </w:tc>
        <w:tc>
          <w:tcPr>
            <w:tcW w:w="1024" w:type="dxa"/>
            <w:shd w:val="clear" w:color="auto" w:fill="auto"/>
            <w:noWrap/>
            <w:vAlign w:val="bottom"/>
          </w:tcPr>
          <w:p>
            <w:pPr>
              <w:jc w:val="right"/>
              <w:rPr>
                <w:color w:val="000000" w:themeColor="text1"/>
                <w:sz w:val="24"/>
              </w:rPr>
            </w:pPr>
            <w:r>
              <w:rPr>
                <w:color w:val="000000" w:themeColor="text1"/>
                <w:sz w:val="24"/>
              </w:rPr>
              <w:t>40</w:t>
            </w:r>
          </w:p>
        </w:tc>
        <w:tc>
          <w:tcPr>
            <w:tcW w:w="1024" w:type="dxa"/>
            <w:shd w:val="clear" w:color="auto" w:fill="auto"/>
            <w:noWrap/>
            <w:vAlign w:val="bottom"/>
          </w:tcPr>
          <w:p>
            <w:pPr>
              <w:jc w:val="right"/>
              <w:rPr>
                <w:color w:val="000000" w:themeColor="text1"/>
                <w:sz w:val="24"/>
              </w:rPr>
            </w:pPr>
            <w:r>
              <w:rPr>
                <w:color w:val="000000" w:themeColor="text1"/>
                <w:sz w:val="24"/>
              </w:rPr>
              <w:t>50</w:t>
            </w:r>
          </w:p>
        </w:tc>
        <w:tc>
          <w:tcPr>
            <w:tcW w:w="1024" w:type="dxa"/>
            <w:shd w:val="clear" w:color="auto" w:fill="auto"/>
            <w:noWrap/>
            <w:vAlign w:val="bottom"/>
          </w:tcPr>
          <w:p>
            <w:pPr>
              <w:jc w:val="right"/>
              <w:rPr>
                <w:color w:val="000000" w:themeColor="text1"/>
                <w:sz w:val="24"/>
              </w:rPr>
            </w:pPr>
            <w:r>
              <w:rPr>
                <w:color w:val="000000" w:themeColor="text1"/>
                <w:sz w:val="24"/>
              </w:rPr>
              <w:t>60</w:t>
            </w:r>
          </w:p>
        </w:tc>
        <w:tc>
          <w:tcPr>
            <w:tcW w:w="1024" w:type="dxa"/>
            <w:shd w:val="clear" w:color="auto" w:fill="auto"/>
            <w:noWrap/>
            <w:vAlign w:val="bottom"/>
          </w:tcPr>
          <w:p>
            <w:pPr>
              <w:jc w:val="right"/>
              <w:rPr>
                <w:color w:val="000000" w:themeColor="text1"/>
                <w:sz w:val="24"/>
              </w:rPr>
            </w:pPr>
            <w:r>
              <w:rPr>
                <w:color w:val="000000" w:themeColor="text1"/>
                <w:sz w:val="24"/>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70" w:type="dxa"/>
            <w:shd w:val="clear" w:color="auto" w:fill="auto"/>
            <w:noWrap/>
            <w:vAlign w:val="bottom"/>
          </w:tcPr>
          <w:p>
            <w:pPr>
              <w:rPr>
                <w:color w:val="000000" w:themeColor="text1"/>
                <w:sz w:val="24"/>
              </w:rPr>
            </w:pPr>
            <w:r>
              <w:rPr>
                <w:rFonts w:hAnsi="宋体"/>
                <w:color w:val="000000" w:themeColor="text1"/>
                <w:sz w:val="24"/>
              </w:rPr>
              <w:t>吸光差值（</w:t>
            </w:r>
            <w:r>
              <w:rPr>
                <w:color w:val="000000" w:themeColor="text1"/>
                <w:sz w:val="24"/>
              </w:rPr>
              <w:t>Abs)</w:t>
            </w:r>
          </w:p>
        </w:tc>
        <w:tc>
          <w:tcPr>
            <w:tcW w:w="1025" w:type="dxa"/>
            <w:shd w:val="clear" w:color="auto" w:fill="auto"/>
            <w:noWrap/>
            <w:vAlign w:val="bottom"/>
          </w:tcPr>
          <w:p>
            <w:pPr>
              <w:jc w:val="right"/>
              <w:rPr>
                <w:color w:val="000000" w:themeColor="text1"/>
                <w:sz w:val="24"/>
              </w:rPr>
            </w:pPr>
            <w:r>
              <w:rPr>
                <w:color w:val="000000" w:themeColor="text1"/>
                <w:sz w:val="24"/>
              </w:rPr>
              <w:t>0.3718</w:t>
            </w:r>
          </w:p>
        </w:tc>
        <w:tc>
          <w:tcPr>
            <w:tcW w:w="1025" w:type="dxa"/>
            <w:shd w:val="clear" w:color="auto" w:fill="auto"/>
            <w:noWrap/>
            <w:vAlign w:val="bottom"/>
          </w:tcPr>
          <w:p>
            <w:pPr>
              <w:jc w:val="right"/>
              <w:rPr>
                <w:color w:val="000000" w:themeColor="text1"/>
                <w:sz w:val="24"/>
              </w:rPr>
            </w:pPr>
            <w:r>
              <w:rPr>
                <w:color w:val="000000" w:themeColor="text1"/>
                <w:sz w:val="24"/>
              </w:rPr>
              <w:t>0.3761</w:t>
            </w:r>
          </w:p>
        </w:tc>
        <w:tc>
          <w:tcPr>
            <w:tcW w:w="1024" w:type="dxa"/>
            <w:shd w:val="clear" w:color="auto" w:fill="auto"/>
            <w:noWrap/>
            <w:vAlign w:val="bottom"/>
          </w:tcPr>
          <w:p>
            <w:pPr>
              <w:jc w:val="right"/>
              <w:rPr>
                <w:color w:val="000000" w:themeColor="text1"/>
                <w:sz w:val="24"/>
              </w:rPr>
            </w:pPr>
            <w:r>
              <w:rPr>
                <w:color w:val="000000" w:themeColor="text1"/>
                <w:sz w:val="24"/>
              </w:rPr>
              <w:t>0.3752</w:t>
            </w:r>
          </w:p>
        </w:tc>
        <w:tc>
          <w:tcPr>
            <w:tcW w:w="1024" w:type="dxa"/>
            <w:shd w:val="clear" w:color="auto" w:fill="auto"/>
            <w:noWrap/>
            <w:vAlign w:val="bottom"/>
          </w:tcPr>
          <w:p>
            <w:pPr>
              <w:jc w:val="right"/>
              <w:rPr>
                <w:color w:val="000000" w:themeColor="text1"/>
                <w:sz w:val="24"/>
              </w:rPr>
            </w:pPr>
            <w:r>
              <w:rPr>
                <w:color w:val="000000" w:themeColor="text1"/>
                <w:sz w:val="24"/>
              </w:rPr>
              <w:t>0.3779</w:t>
            </w:r>
          </w:p>
        </w:tc>
        <w:tc>
          <w:tcPr>
            <w:tcW w:w="1024" w:type="dxa"/>
            <w:shd w:val="clear" w:color="auto" w:fill="auto"/>
            <w:noWrap/>
            <w:vAlign w:val="bottom"/>
          </w:tcPr>
          <w:p>
            <w:pPr>
              <w:jc w:val="right"/>
              <w:rPr>
                <w:color w:val="000000" w:themeColor="text1"/>
                <w:sz w:val="24"/>
              </w:rPr>
            </w:pPr>
            <w:r>
              <w:rPr>
                <w:color w:val="000000" w:themeColor="text1"/>
                <w:sz w:val="24"/>
              </w:rPr>
              <w:t>0.3799</w:t>
            </w:r>
          </w:p>
        </w:tc>
        <w:tc>
          <w:tcPr>
            <w:tcW w:w="1024" w:type="dxa"/>
            <w:shd w:val="clear" w:color="auto" w:fill="auto"/>
            <w:noWrap/>
            <w:vAlign w:val="bottom"/>
          </w:tcPr>
          <w:p>
            <w:pPr>
              <w:jc w:val="right"/>
              <w:rPr>
                <w:color w:val="000000" w:themeColor="text1"/>
                <w:sz w:val="24"/>
              </w:rPr>
            </w:pPr>
            <w:r>
              <w:rPr>
                <w:color w:val="000000" w:themeColor="text1"/>
                <w:sz w:val="24"/>
              </w:rPr>
              <w:t>0.3805</w:t>
            </w:r>
          </w:p>
        </w:tc>
        <w:tc>
          <w:tcPr>
            <w:tcW w:w="1024" w:type="dxa"/>
            <w:shd w:val="clear" w:color="auto" w:fill="auto"/>
            <w:noWrap/>
            <w:vAlign w:val="bottom"/>
          </w:tcPr>
          <w:p>
            <w:pPr>
              <w:jc w:val="right"/>
              <w:rPr>
                <w:color w:val="000000" w:themeColor="text1"/>
                <w:sz w:val="24"/>
              </w:rPr>
            </w:pPr>
            <w:r>
              <w:rPr>
                <w:color w:val="000000" w:themeColor="text1"/>
                <w:sz w:val="24"/>
              </w:rPr>
              <w:t>0.3801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70" w:type="dxa"/>
            <w:shd w:val="clear" w:color="auto" w:fill="auto"/>
            <w:noWrap/>
            <w:vAlign w:val="bottom"/>
          </w:tcPr>
          <w:p>
            <w:pPr>
              <w:rPr>
                <w:color w:val="000000" w:themeColor="text1"/>
                <w:sz w:val="24"/>
              </w:rPr>
            </w:pPr>
            <w:r>
              <w:rPr>
                <w:rFonts w:hAnsi="宋体"/>
                <w:color w:val="000000" w:themeColor="text1"/>
                <w:sz w:val="24"/>
              </w:rPr>
              <w:t>时间（</w:t>
            </w:r>
            <w:r>
              <w:rPr>
                <w:color w:val="000000" w:themeColor="text1"/>
                <w:sz w:val="24"/>
              </w:rPr>
              <w:t>min)</w:t>
            </w:r>
          </w:p>
        </w:tc>
        <w:tc>
          <w:tcPr>
            <w:tcW w:w="1025" w:type="dxa"/>
            <w:shd w:val="clear" w:color="auto" w:fill="auto"/>
            <w:noWrap/>
            <w:vAlign w:val="bottom"/>
          </w:tcPr>
          <w:p>
            <w:pPr>
              <w:jc w:val="right"/>
              <w:rPr>
                <w:color w:val="000000" w:themeColor="text1"/>
                <w:sz w:val="24"/>
              </w:rPr>
            </w:pPr>
            <w:r>
              <w:rPr>
                <w:color w:val="000000" w:themeColor="text1"/>
                <w:sz w:val="24"/>
              </w:rPr>
              <w:t>80</w:t>
            </w:r>
          </w:p>
        </w:tc>
        <w:tc>
          <w:tcPr>
            <w:tcW w:w="1025" w:type="dxa"/>
            <w:shd w:val="clear" w:color="auto" w:fill="auto"/>
            <w:noWrap/>
            <w:vAlign w:val="bottom"/>
          </w:tcPr>
          <w:p>
            <w:pPr>
              <w:jc w:val="right"/>
              <w:rPr>
                <w:color w:val="000000" w:themeColor="text1"/>
                <w:sz w:val="24"/>
              </w:rPr>
            </w:pPr>
            <w:r>
              <w:rPr>
                <w:color w:val="000000" w:themeColor="text1"/>
                <w:sz w:val="24"/>
              </w:rPr>
              <w:t>90</w:t>
            </w:r>
          </w:p>
        </w:tc>
        <w:tc>
          <w:tcPr>
            <w:tcW w:w="1024" w:type="dxa"/>
            <w:shd w:val="clear" w:color="auto" w:fill="auto"/>
            <w:noWrap/>
            <w:vAlign w:val="bottom"/>
          </w:tcPr>
          <w:p>
            <w:pPr>
              <w:jc w:val="right"/>
              <w:rPr>
                <w:color w:val="000000" w:themeColor="text1"/>
                <w:sz w:val="24"/>
              </w:rPr>
            </w:pPr>
            <w:r>
              <w:rPr>
                <w:color w:val="000000" w:themeColor="text1"/>
                <w:sz w:val="24"/>
              </w:rPr>
              <w:t>100</w:t>
            </w:r>
          </w:p>
        </w:tc>
        <w:tc>
          <w:tcPr>
            <w:tcW w:w="1024" w:type="dxa"/>
            <w:shd w:val="clear" w:color="auto" w:fill="auto"/>
            <w:noWrap/>
            <w:vAlign w:val="bottom"/>
          </w:tcPr>
          <w:p>
            <w:pPr>
              <w:jc w:val="right"/>
              <w:rPr>
                <w:color w:val="000000" w:themeColor="text1"/>
                <w:sz w:val="24"/>
              </w:rPr>
            </w:pPr>
            <w:r>
              <w:rPr>
                <w:color w:val="000000" w:themeColor="text1"/>
                <w:sz w:val="24"/>
              </w:rPr>
              <w:t>110</w:t>
            </w:r>
          </w:p>
        </w:tc>
        <w:tc>
          <w:tcPr>
            <w:tcW w:w="1024" w:type="dxa"/>
            <w:shd w:val="clear" w:color="auto" w:fill="auto"/>
            <w:noWrap/>
            <w:vAlign w:val="bottom"/>
          </w:tcPr>
          <w:p>
            <w:pPr>
              <w:jc w:val="right"/>
              <w:rPr>
                <w:color w:val="000000" w:themeColor="text1"/>
                <w:sz w:val="24"/>
              </w:rPr>
            </w:pPr>
            <w:r>
              <w:rPr>
                <w:color w:val="000000" w:themeColor="text1"/>
                <w:sz w:val="24"/>
              </w:rPr>
              <w:t>120</w:t>
            </w:r>
          </w:p>
        </w:tc>
        <w:tc>
          <w:tcPr>
            <w:tcW w:w="1024" w:type="dxa"/>
            <w:shd w:val="clear" w:color="auto" w:fill="auto"/>
            <w:noWrap/>
            <w:vAlign w:val="bottom"/>
          </w:tcPr>
          <w:p>
            <w:pPr>
              <w:jc w:val="right"/>
              <w:rPr>
                <w:color w:val="000000" w:themeColor="text1"/>
                <w:sz w:val="24"/>
              </w:rPr>
            </w:pPr>
            <w:r>
              <w:rPr>
                <w:color w:val="000000" w:themeColor="text1"/>
                <w:sz w:val="24"/>
              </w:rPr>
              <w:t>130</w:t>
            </w:r>
          </w:p>
        </w:tc>
        <w:tc>
          <w:tcPr>
            <w:tcW w:w="1024" w:type="dxa"/>
            <w:shd w:val="clear" w:color="auto" w:fill="auto"/>
            <w:noWrap/>
            <w:vAlign w:val="bottom"/>
          </w:tcPr>
          <w:p>
            <w:pPr>
              <w:jc w:val="right"/>
              <w:rPr>
                <w:color w:val="000000" w:themeColor="text1"/>
                <w:sz w:val="24"/>
              </w:rPr>
            </w:pPr>
            <w:r>
              <w:rPr>
                <w:color w:val="000000" w:themeColor="text1"/>
                <w:sz w:val="24"/>
              </w:rP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70" w:type="dxa"/>
            <w:shd w:val="clear" w:color="auto" w:fill="auto"/>
            <w:noWrap/>
            <w:vAlign w:val="bottom"/>
          </w:tcPr>
          <w:p>
            <w:pPr>
              <w:rPr>
                <w:color w:val="000000" w:themeColor="text1"/>
                <w:sz w:val="24"/>
              </w:rPr>
            </w:pPr>
            <w:r>
              <w:rPr>
                <w:rFonts w:hAnsi="宋体"/>
                <w:color w:val="000000" w:themeColor="text1"/>
                <w:sz w:val="24"/>
              </w:rPr>
              <w:t>吸光差值（</w:t>
            </w:r>
            <w:r>
              <w:rPr>
                <w:color w:val="000000" w:themeColor="text1"/>
                <w:sz w:val="24"/>
              </w:rPr>
              <w:t>Abs)</w:t>
            </w:r>
          </w:p>
        </w:tc>
        <w:tc>
          <w:tcPr>
            <w:tcW w:w="1025" w:type="dxa"/>
            <w:shd w:val="clear" w:color="auto" w:fill="auto"/>
            <w:noWrap/>
            <w:vAlign w:val="bottom"/>
          </w:tcPr>
          <w:p>
            <w:pPr>
              <w:jc w:val="right"/>
              <w:rPr>
                <w:color w:val="000000" w:themeColor="text1"/>
                <w:sz w:val="24"/>
              </w:rPr>
            </w:pPr>
            <w:r>
              <w:rPr>
                <w:color w:val="000000" w:themeColor="text1"/>
                <w:sz w:val="24"/>
              </w:rPr>
              <w:t>0.3803</w:t>
            </w:r>
          </w:p>
        </w:tc>
        <w:tc>
          <w:tcPr>
            <w:tcW w:w="1025" w:type="dxa"/>
            <w:shd w:val="clear" w:color="auto" w:fill="auto"/>
            <w:noWrap/>
            <w:vAlign w:val="bottom"/>
          </w:tcPr>
          <w:p>
            <w:pPr>
              <w:jc w:val="right"/>
              <w:rPr>
                <w:color w:val="000000" w:themeColor="text1"/>
                <w:sz w:val="24"/>
              </w:rPr>
            </w:pPr>
            <w:r>
              <w:rPr>
                <w:color w:val="000000" w:themeColor="text1"/>
                <w:sz w:val="24"/>
              </w:rPr>
              <w:t>0.3808</w:t>
            </w:r>
          </w:p>
        </w:tc>
        <w:tc>
          <w:tcPr>
            <w:tcW w:w="1024" w:type="dxa"/>
            <w:shd w:val="clear" w:color="auto" w:fill="auto"/>
            <w:noWrap/>
            <w:vAlign w:val="bottom"/>
          </w:tcPr>
          <w:p>
            <w:pPr>
              <w:jc w:val="right"/>
              <w:rPr>
                <w:color w:val="000000" w:themeColor="text1"/>
                <w:sz w:val="24"/>
              </w:rPr>
            </w:pPr>
            <w:r>
              <w:rPr>
                <w:color w:val="000000" w:themeColor="text1"/>
                <w:sz w:val="24"/>
              </w:rPr>
              <w:t>0.3767</w:t>
            </w:r>
          </w:p>
        </w:tc>
        <w:tc>
          <w:tcPr>
            <w:tcW w:w="1024" w:type="dxa"/>
            <w:shd w:val="clear" w:color="auto" w:fill="auto"/>
            <w:noWrap/>
            <w:vAlign w:val="bottom"/>
          </w:tcPr>
          <w:p>
            <w:pPr>
              <w:jc w:val="right"/>
              <w:rPr>
                <w:color w:val="000000" w:themeColor="text1"/>
                <w:sz w:val="24"/>
              </w:rPr>
            </w:pPr>
            <w:r>
              <w:rPr>
                <w:color w:val="000000" w:themeColor="text1"/>
                <w:sz w:val="24"/>
              </w:rPr>
              <w:t>0.3817</w:t>
            </w:r>
          </w:p>
        </w:tc>
        <w:tc>
          <w:tcPr>
            <w:tcW w:w="1024" w:type="dxa"/>
            <w:shd w:val="clear" w:color="auto" w:fill="auto"/>
            <w:noWrap/>
            <w:vAlign w:val="bottom"/>
          </w:tcPr>
          <w:p>
            <w:pPr>
              <w:jc w:val="right"/>
              <w:rPr>
                <w:color w:val="000000" w:themeColor="text1"/>
                <w:sz w:val="24"/>
              </w:rPr>
            </w:pPr>
            <w:r>
              <w:rPr>
                <w:color w:val="000000" w:themeColor="text1"/>
                <w:sz w:val="24"/>
              </w:rPr>
              <w:t>0.3835</w:t>
            </w:r>
          </w:p>
        </w:tc>
        <w:tc>
          <w:tcPr>
            <w:tcW w:w="1024" w:type="dxa"/>
            <w:shd w:val="clear" w:color="auto" w:fill="auto"/>
            <w:noWrap/>
            <w:vAlign w:val="bottom"/>
          </w:tcPr>
          <w:p>
            <w:pPr>
              <w:jc w:val="right"/>
              <w:rPr>
                <w:color w:val="000000" w:themeColor="text1"/>
                <w:sz w:val="24"/>
              </w:rPr>
            </w:pPr>
            <w:r>
              <w:rPr>
                <w:color w:val="000000" w:themeColor="text1"/>
                <w:sz w:val="24"/>
              </w:rPr>
              <w:t>0.3857</w:t>
            </w:r>
          </w:p>
        </w:tc>
        <w:tc>
          <w:tcPr>
            <w:tcW w:w="1024" w:type="dxa"/>
            <w:shd w:val="clear" w:color="auto" w:fill="auto"/>
            <w:noWrap/>
            <w:vAlign w:val="bottom"/>
          </w:tcPr>
          <w:p>
            <w:pPr>
              <w:jc w:val="right"/>
              <w:rPr>
                <w:color w:val="000000" w:themeColor="text1"/>
                <w:sz w:val="24"/>
              </w:rPr>
            </w:pPr>
            <w:r>
              <w:rPr>
                <w:color w:val="000000" w:themeColor="text1"/>
                <w:sz w:val="24"/>
              </w:rPr>
              <w:t>0.3827</w:t>
            </w:r>
          </w:p>
        </w:tc>
      </w:tr>
    </w:tbl>
    <w:p>
      <w:pPr>
        <w:pStyle w:val="14"/>
        <w:numPr>
          <w:ilvl w:val="0"/>
          <w:numId w:val="5"/>
        </w:numPr>
        <w:adjustRightInd w:val="0"/>
        <w:snapToGrid w:val="0"/>
        <w:spacing w:beforeLines="50" w:line="360" w:lineRule="auto"/>
        <w:ind w:left="0" w:firstLine="0" w:firstLineChars="0"/>
        <w:outlineLvl w:val="1"/>
        <w:rPr>
          <w:rFonts w:ascii="黑体" w:hAnsi="黑体" w:eastAsia="黑体" w:cs="黑体"/>
          <w:bCs/>
          <w:color w:val="000000" w:themeColor="text1"/>
          <w:sz w:val="32"/>
          <w:szCs w:val="32"/>
          <w:lang w:val="zh-CN"/>
        </w:rPr>
      </w:pPr>
      <w:r>
        <w:rPr>
          <w:rFonts w:hint="eastAsia" w:ascii="黑体" w:hAnsi="黑体" w:eastAsia="黑体" w:cs="黑体"/>
          <w:bCs/>
          <w:color w:val="000000" w:themeColor="text1"/>
          <w:sz w:val="32"/>
          <w:szCs w:val="32"/>
          <w:lang w:val="zh-CN"/>
        </w:rPr>
        <w:t>实验数据的准确度</w:t>
      </w:r>
    </w:p>
    <w:p>
      <w:pPr>
        <w:ind w:firstLine="560" w:firstLineChars="200"/>
        <w:rPr>
          <w:rFonts w:ascii="仿宋_GB2312" w:hAnsi="宋体" w:eastAsia="仿宋_GB2312"/>
          <w:color w:val="000000" w:themeColor="text1"/>
          <w:sz w:val="28"/>
          <w:szCs w:val="28"/>
        </w:rPr>
      </w:pPr>
      <w:r>
        <w:rPr>
          <w:rFonts w:hint="eastAsia" w:ascii="仿宋_GB2312" w:eastAsia="仿宋_GB2312"/>
          <w:color w:val="000000" w:themeColor="text1"/>
          <w:sz w:val="28"/>
          <w:szCs w:val="28"/>
        </w:rPr>
        <w:t>选取薯类作物（3份）样品进行测定</w:t>
      </w:r>
      <w:r>
        <w:rPr>
          <w:rFonts w:hint="eastAsia" w:ascii="仿宋_GB2312" w:hAnsi="宋体" w:eastAsia="仿宋_GB2312"/>
          <w:color w:val="000000" w:themeColor="text1"/>
          <w:sz w:val="28"/>
          <w:szCs w:val="28"/>
        </w:rPr>
        <w:t>，每个样品称取3个平行样，选择两家检验机构按试验方法进行实验，比对试验，测定结果见表6，分析结果相对误差在0.25%～4.08%，低于5%说明本方法的准确度较好，具有普遍性，适合推广使用。</w:t>
      </w:r>
      <w:r>
        <w:rPr>
          <w:rFonts w:ascii="仿宋_GB2312" w:hAnsi="宋体" w:eastAsia="仿宋_GB2312"/>
          <w:color w:val="000000" w:themeColor="text1"/>
          <w:sz w:val="28"/>
          <w:szCs w:val="28"/>
        </w:rPr>
        <w:cr/>
      </w:r>
    </w:p>
    <w:p>
      <w:pPr>
        <w:ind w:firstLine="560" w:firstLineChars="200"/>
        <w:rPr>
          <w:rFonts w:ascii="仿宋_GB2312" w:hAnsi="宋体" w:eastAsia="仿宋_GB2312"/>
          <w:color w:val="000000" w:themeColor="text1"/>
          <w:sz w:val="28"/>
          <w:szCs w:val="28"/>
        </w:rPr>
      </w:pPr>
    </w:p>
    <w:p>
      <w:pPr>
        <w:ind w:firstLine="560" w:firstLineChars="200"/>
        <w:rPr>
          <w:rFonts w:ascii="仿宋_GB2312" w:hAnsi="宋体" w:eastAsia="仿宋_GB2312"/>
          <w:color w:val="000000" w:themeColor="text1"/>
          <w:sz w:val="28"/>
          <w:szCs w:val="28"/>
        </w:rPr>
      </w:pPr>
    </w:p>
    <w:p>
      <w:pPr>
        <w:ind w:firstLine="560" w:firstLineChars="200"/>
        <w:rPr>
          <w:rFonts w:ascii="仿宋_GB2312" w:hAnsi="宋体" w:eastAsia="仿宋_GB2312"/>
          <w:color w:val="000000" w:themeColor="text1"/>
          <w:sz w:val="28"/>
          <w:szCs w:val="28"/>
        </w:rPr>
      </w:pPr>
    </w:p>
    <w:p>
      <w:pPr>
        <w:ind w:firstLine="560" w:firstLineChars="200"/>
        <w:jc w:val="center"/>
        <w:rPr>
          <w:rFonts w:ascii="黑体" w:hAnsi="黑体" w:eastAsia="黑体" w:cs="黑体"/>
          <w:bCs/>
          <w:color w:val="000000" w:themeColor="text1"/>
          <w:sz w:val="28"/>
          <w:szCs w:val="32"/>
          <w:highlight w:val="yellow"/>
          <w:lang w:val="zh-CN"/>
        </w:rPr>
        <w:sectPr>
          <w:footerReference r:id="rId3" w:type="default"/>
          <w:pgSz w:w="11906" w:h="16838"/>
          <w:pgMar w:top="1440" w:right="1417" w:bottom="1440" w:left="1417" w:header="851" w:footer="992" w:gutter="0"/>
          <w:cols w:space="720" w:num="1"/>
          <w:docGrid w:type="lines" w:linePitch="312" w:charSpace="0"/>
        </w:sectPr>
      </w:pPr>
    </w:p>
    <w:tbl>
      <w:tblPr>
        <w:tblStyle w:val="10"/>
        <w:tblpPr w:leftFromText="180" w:rightFromText="180" w:vertAnchor="text" w:horzAnchor="margin" w:tblpXSpec="center" w:tblpY="830"/>
        <w:tblW w:w="5000" w:type="pct"/>
        <w:tblInd w:w="0" w:type="dxa"/>
        <w:tblLayout w:type="fixed"/>
        <w:tblCellMar>
          <w:top w:w="0" w:type="dxa"/>
          <w:left w:w="108" w:type="dxa"/>
          <w:bottom w:w="0" w:type="dxa"/>
          <w:right w:w="108" w:type="dxa"/>
        </w:tblCellMar>
      </w:tblPr>
      <w:tblGrid>
        <w:gridCol w:w="636"/>
        <w:gridCol w:w="900"/>
        <w:gridCol w:w="839"/>
        <w:gridCol w:w="853"/>
        <w:gridCol w:w="848"/>
        <w:gridCol w:w="853"/>
        <w:gridCol w:w="853"/>
        <w:gridCol w:w="853"/>
        <w:gridCol w:w="850"/>
        <w:gridCol w:w="850"/>
        <w:gridCol w:w="850"/>
        <w:gridCol w:w="853"/>
        <w:gridCol w:w="842"/>
        <w:gridCol w:w="995"/>
        <w:gridCol w:w="1134"/>
        <w:gridCol w:w="1165"/>
      </w:tblGrid>
      <w:tr>
        <w:tblPrEx>
          <w:tblCellMar>
            <w:top w:w="0" w:type="dxa"/>
            <w:left w:w="108" w:type="dxa"/>
            <w:bottom w:w="0" w:type="dxa"/>
            <w:right w:w="108" w:type="dxa"/>
          </w:tblCellMar>
        </w:tblPrEx>
        <w:trPr>
          <w:trHeight w:val="567" w:hRule="atLeast"/>
        </w:trPr>
        <w:tc>
          <w:tcPr>
            <w:tcW w:w="224"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样品名称</w:t>
            </w:r>
          </w:p>
        </w:tc>
        <w:tc>
          <w:tcPr>
            <w:tcW w:w="1815" w:type="pct"/>
            <w:gridSpan w:val="6"/>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广西壮族自治区粮油质量检验中心</w:t>
            </w:r>
          </w:p>
        </w:tc>
        <w:tc>
          <w:tcPr>
            <w:tcW w:w="1799" w:type="pct"/>
            <w:gridSpan w:val="6"/>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广西壮族自治区农业科学院农产品质量安全与检验技术研究所</w:t>
            </w:r>
          </w:p>
        </w:tc>
        <w:tc>
          <w:tcPr>
            <w:tcW w:w="351"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实验室间直链淀粉对比相对误差%</w:t>
            </w:r>
          </w:p>
        </w:tc>
        <w:tc>
          <w:tcPr>
            <w:tcW w:w="400"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实验室间支链淀粉对比相对误差%</w:t>
            </w:r>
          </w:p>
        </w:tc>
        <w:tc>
          <w:tcPr>
            <w:tcW w:w="411"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实验室间总淀粉对比相对误差%</w:t>
            </w:r>
          </w:p>
        </w:tc>
      </w:tr>
      <w:tr>
        <w:tblPrEx>
          <w:tblCellMar>
            <w:top w:w="0" w:type="dxa"/>
            <w:left w:w="108" w:type="dxa"/>
            <w:bottom w:w="0" w:type="dxa"/>
            <w:right w:w="108" w:type="dxa"/>
          </w:tblCellMar>
        </w:tblPrEx>
        <w:trPr>
          <w:trHeight w:val="567" w:hRule="atLeast"/>
        </w:trPr>
        <w:tc>
          <w:tcPr>
            <w:tcW w:w="224" w:type="pct"/>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1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直链淀粉含量%</w:t>
            </w:r>
          </w:p>
        </w:tc>
        <w:tc>
          <w:tcPr>
            <w:tcW w:w="296"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平均值%</w:t>
            </w:r>
          </w:p>
        </w:tc>
        <w:tc>
          <w:tcPr>
            <w:tcW w:w="301"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支链淀粉含量%</w:t>
            </w:r>
          </w:p>
        </w:tc>
        <w:tc>
          <w:tcPr>
            <w:tcW w:w="299"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平均值%</w:t>
            </w:r>
          </w:p>
        </w:tc>
        <w:tc>
          <w:tcPr>
            <w:tcW w:w="301"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总淀粉含量%</w:t>
            </w:r>
          </w:p>
        </w:tc>
        <w:tc>
          <w:tcPr>
            <w:tcW w:w="301"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平均值%</w:t>
            </w:r>
          </w:p>
        </w:tc>
        <w:tc>
          <w:tcPr>
            <w:tcW w:w="301"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直链淀粉含量%</w:t>
            </w:r>
          </w:p>
        </w:tc>
        <w:tc>
          <w:tcPr>
            <w:tcW w:w="300"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平均值%</w:t>
            </w:r>
          </w:p>
        </w:tc>
        <w:tc>
          <w:tcPr>
            <w:tcW w:w="300"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支链淀粉含量%</w:t>
            </w:r>
          </w:p>
        </w:tc>
        <w:tc>
          <w:tcPr>
            <w:tcW w:w="300"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平均值%</w:t>
            </w:r>
          </w:p>
        </w:tc>
        <w:tc>
          <w:tcPr>
            <w:tcW w:w="301"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总淀粉含量%</w:t>
            </w:r>
          </w:p>
        </w:tc>
        <w:tc>
          <w:tcPr>
            <w:tcW w:w="29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平均值%</w:t>
            </w:r>
          </w:p>
        </w:tc>
        <w:tc>
          <w:tcPr>
            <w:tcW w:w="351" w:type="pct"/>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400" w:type="pct"/>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411" w:type="pct"/>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r>
      <w:tr>
        <w:tblPrEx>
          <w:tblCellMar>
            <w:top w:w="0" w:type="dxa"/>
            <w:left w:w="108" w:type="dxa"/>
            <w:bottom w:w="0" w:type="dxa"/>
            <w:right w:w="108" w:type="dxa"/>
          </w:tblCellMar>
        </w:tblPrEx>
        <w:trPr>
          <w:trHeight w:val="567" w:hRule="atLeast"/>
        </w:trPr>
        <w:tc>
          <w:tcPr>
            <w:tcW w:w="224"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红薯</w:t>
            </w:r>
          </w:p>
        </w:tc>
        <w:tc>
          <w:tcPr>
            <w:tcW w:w="31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4.38</w:t>
            </w:r>
          </w:p>
        </w:tc>
        <w:tc>
          <w:tcPr>
            <w:tcW w:w="296" w:type="pct"/>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4.38</w:t>
            </w:r>
          </w:p>
        </w:tc>
        <w:tc>
          <w:tcPr>
            <w:tcW w:w="301"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44.56</w:t>
            </w:r>
          </w:p>
        </w:tc>
        <w:tc>
          <w:tcPr>
            <w:tcW w:w="299" w:type="pct"/>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43.63</w:t>
            </w:r>
          </w:p>
        </w:tc>
        <w:tc>
          <w:tcPr>
            <w:tcW w:w="301"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48.94</w:t>
            </w:r>
          </w:p>
        </w:tc>
        <w:tc>
          <w:tcPr>
            <w:tcW w:w="301" w:type="pct"/>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48.01</w:t>
            </w:r>
          </w:p>
        </w:tc>
        <w:tc>
          <w:tcPr>
            <w:tcW w:w="301"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4.22</w:t>
            </w:r>
          </w:p>
        </w:tc>
        <w:tc>
          <w:tcPr>
            <w:tcW w:w="300" w:type="pct"/>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4.29</w:t>
            </w:r>
          </w:p>
        </w:tc>
        <w:tc>
          <w:tcPr>
            <w:tcW w:w="300"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43.58</w:t>
            </w:r>
          </w:p>
        </w:tc>
        <w:tc>
          <w:tcPr>
            <w:tcW w:w="300" w:type="pct"/>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43.84</w:t>
            </w:r>
          </w:p>
        </w:tc>
        <w:tc>
          <w:tcPr>
            <w:tcW w:w="301"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53.23</w:t>
            </w:r>
          </w:p>
        </w:tc>
        <w:tc>
          <w:tcPr>
            <w:tcW w:w="297" w:type="pct"/>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49.44</w:t>
            </w:r>
          </w:p>
        </w:tc>
        <w:tc>
          <w:tcPr>
            <w:tcW w:w="351" w:type="pct"/>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2.08</w:t>
            </w:r>
          </w:p>
        </w:tc>
        <w:tc>
          <w:tcPr>
            <w:tcW w:w="400" w:type="pct"/>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0.48</w:t>
            </w:r>
          </w:p>
        </w:tc>
        <w:tc>
          <w:tcPr>
            <w:tcW w:w="411" w:type="pct"/>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0.25</w:t>
            </w:r>
          </w:p>
        </w:tc>
      </w:tr>
      <w:tr>
        <w:tblPrEx>
          <w:tblCellMar>
            <w:top w:w="0" w:type="dxa"/>
            <w:left w:w="108" w:type="dxa"/>
            <w:bottom w:w="0" w:type="dxa"/>
            <w:right w:w="108" w:type="dxa"/>
          </w:tblCellMar>
        </w:tblPrEx>
        <w:trPr>
          <w:trHeight w:val="567" w:hRule="atLeast"/>
        </w:trPr>
        <w:tc>
          <w:tcPr>
            <w:tcW w:w="224"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红薯</w:t>
            </w:r>
          </w:p>
        </w:tc>
        <w:tc>
          <w:tcPr>
            <w:tcW w:w="31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4.38</w:t>
            </w:r>
          </w:p>
        </w:tc>
        <w:tc>
          <w:tcPr>
            <w:tcW w:w="296" w:type="pct"/>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01"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43.17</w:t>
            </w:r>
          </w:p>
        </w:tc>
        <w:tc>
          <w:tcPr>
            <w:tcW w:w="299" w:type="pct"/>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01"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47.55</w:t>
            </w:r>
          </w:p>
        </w:tc>
        <w:tc>
          <w:tcPr>
            <w:tcW w:w="301" w:type="pct"/>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01"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4.42</w:t>
            </w:r>
          </w:p>
        </w:tc>
        <w:tc>
          <w:tcPr>
            <w:tcW w:w="300" w:type="pct"/>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00"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43.05</w:t>
            </w:r>
          </w:p>
        </w:tc>
        <w:tc>
          <w:tcPr>
            <w:tcW w:w="300" w:type="pct"/>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01"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47.55</w:t>
            </w:r>
          </w:p>
        </w:tc>
        <w:tc>
          <w:tcPr>
            <w:tcW w:w="297" w:type="pct"/>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51" w:type="pct"/>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400" w:type="pct"/>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411" w:type="pct"/>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r>
      <w:tr>
        <w:tblPrEx>
          <w:tblCellMar>
            <w:top w:w="0" w:type="dxa"/>
            <w:left w:w="108" w:type="dxa"/>
            <w:bottom w:w="0" w:type="dxa"/>
            <w:right w:w="108" w:type="dxa"/>
          </w:tblCellMar>
        </w:tblPrEx>
        <w:trPr>
          <w:trHeight w:val="567" w:hRule="atLeast"/>
        </w:trPr>
        <w:tc>
          <w:tcPr>
            <w:tcW w:w="224"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红薯</w:t>
            </w:r>
          </w:p>
        </w:tc>
        <w:tc>
          <w:tcPr>
            <w:tcW w:w="31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4.38</w:t>
            </w:r>
          </w:p>
        </w:tc>
        <w:tc>
          <w:tcPr>
            <w:tcW w:w="296" w:type="pct"/>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01"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43.17</w:t>
            </w:r>
          </w:p>
        </w:tc>
        <w:tc>
          <w:tcPr>
            <w:tcW w:w="299" w:type="pct"/>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01"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47.55</w:t>
            </w:r>
          </w:p>
        </w:tc>
        <w:tc>
          <w:tcPr>
            <w:tcW w:w="301" w:type="pct"/>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01"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4.24</w:t>
            </w:r>
          </w:p>
        </w:tc>
        <w:tc>
          <w:tcPr>
            <w:tcW w:w="300" w:type="pct"/>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00"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44.89</w:t>
            </w:r>
          </w:p>
        </w:tc>
        <w:tc>
          <w:tcPr>
            <w:tcW w:w="300" w:type="pct"/>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01"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47.55</w:t>
            </w:r>
          </w:p>
        </w:tc>
        <w:tc>
          <w:tcPr>
            <w:tcW w:w="297" w:type="pct"/>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51" w:type="pct"/>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400" w:type="pct"/>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411" w:type="pct"/>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r>
      <w:tr>
        <w:tblPrEx>
          <w:tblCellMar>
            <w:top w:w="0" w:type="dxa"/>
            <w:left w:w="108" w:type="dxa"/>
            <w:bottom w:w="0" w:type="dxa"/>
            <w:right w:w="108" w:type="dxa"/>
          </w:tblCellMar>
        </w:tblPrEx>
        <w:trPr>
          <w:trHeight w:val="567" w:hRule="atLeast"/>
        </w:trPr>
        <w:tc>
          <w:tcPr>
            <w:tcW w:w="224"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木薯</w:t>
            </w:r>
          </w:p>
        </w:tc>
        <w:tc>
          <w:tcPr>
            <w:tcW w:w="31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15.44</w:t>
            </w:r>
          </w:p>
        </w:tc>
        <w:tc>
          <w:tcPr>
            <w:tcW w:w="296" w:type="pct"/>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15.77</w:t>
            </w:r>
          </w:p>
        </w:tc>
        <w:tc>
          <w:tcPr>
            <w:tcW w:w="301"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60.52</w:t>
            </w:r>
          </w:p>
        </w:tc>
        <w:tc>
          <w:tcPr>
            <w:tcW w:w="299" w:type="pct"/>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60.06</w:t>
            </w:r>
          </w:p>
        </w:tc>
        <w:tc>
          <w:tcPr>
            <w:tcW w:w="301"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75.96</w:t>
            </w:r>
          </w:p>
        </w:tc>
        <w:tc>
          <w:tcPr>
            <w:tcW w:w="301" w:type="pct"/>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75.83</w:t>
            </w:r>
          </w:p>
        </w:tc>
        <w:tc>
          <w:tcPr>
            <w:tcW w:w="301"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15.46</w:t>
            </w:r>
          </w:p>
        </w:tc>
        <w:tc>
          <w:tcPr>
            <w:tcW w:w="300" w:type="pct"/>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15.14</w:t>
            </w:r>
          </w:p>
        </w:tc>
        <w:tc>
          <w:tcPr>
            <w:tcW w:w="300"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60.41</w:t>
            </w:r>
          </w:p>
        </w:tc>
        <w:tc>
          <w:tcPr>
            <w:tcW w:w="300" w:type="pct"/>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60.22</w:t>
            </w:r>
          </w:p>
        </w:tc>
        <w:tc>
          <w:tcPr>
            <w:tcW w:w="301"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75.87</w:t>
            </w:r>
          </w:p>
        </w:tc>
        <w:tc>
          <w:tcPr>
            <w:tcW w:w="297" w:type="pct"/>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75.37</w:t>
            </w:r>
          </w:p>
        </w:tc>
        <w:tc>
          <w:tcPr>
            <w:tcW w:w="351" w:type="pct"/>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4.08</w:t>
            </w:r>
          </w:p>
        </w:tc>
        <w:tc>
          <w:tcPr>
            <w:tcW w:w="400" w:type="pct"/>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0.27</w:t>
            </w:r>
          </w:p>
        </w:tc>
        <w:tc>
          <w:tcPr>
            <w:tcW w:w="411" w:type="pct"/>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0.61</w:t>
            </w:r>
          </w:p>
        </w:tc>
      </w:tr>
      <w:tr>
        <w:tblPrEx>
          <w:tblCellMar>
            <w:top w:w="0" w:type="dxa"/>
            <w:left w:w="108" w:type="dxa"/>
            <w:bottom w:w="0" w:type="dxa"/>
            <w:right w:w="108" w:type="dxa"/>
          </w:tblCellMar>
        </w:tblPrEx>
        <w:trPr>
          <w:trHeight w:val="567" w:hRule="atLeast"/>
        </w:trPr>
        <w:tc>
          <w:tcPr>
            <w:tcW w:w="224"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木薯</w:t>
            </w:r>
          </w:p>
        </w:tc>
        <w:tc>
          <w:tcPr>
            <w:tcW w:w="31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15.94</w:t>
            </w:r>
          </w:p>
        </w:tc>
        <w:tc>
          <w:tcPr>
            <w:tcW w:w="296" w:type="pct"/>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01"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59.83</w:t>
            </w:r>
          </w:p>
        </w:tc>
        <w:tc>
          <w:tcPr>
            <w:tcW w:w="299" w:type="pct"/>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01"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75.77</w:t>
            </w:r>
          </w:p>
        </w:tc>
        <w:tc>
          <w:tcPr>
            <w:tcW w:w="301" w:type="pct"/>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01"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14.86</w:t>
            </w:r>
          </w:p>
        </w:tc>
        <w:tc>
          <w:tcPr>
            <w:tcW w:w="300" w:type="pct"/>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00"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60.82</w:t>
            </w:r>
          </w:p>
        </w:tc>
        <w:tc>
          <w:tcPr>
            <w:tcW w:w="300" w:type="pct"/>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01"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75.68</w:t>
            </w:r>
          </w:p>
        </w:tc>
        <w:tc>
          <w:tcPr>
            <w:tcW w:w="297" w:type="pct"/>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51" w:type="pct"/>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400" w:type="pct"/>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411" w:type="pct"/>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r>
      <w:tr>
        <w:tblPrEx>
          <w:tblCellMar>
            <w:top w:w="0" w:type="dxa"/>
            <w:left w:w="108" w:type="dxa"/>
            <w:bottom w:w="0" w:type="dxa"/>
            <w:right w:w="108" w:type="dxa"/>
          </w:tblCellMar>
        </w:tblPrEx>
        <w:trPr>
          <w:trHeight w:val="567" w:hRule="atLeast"/>
        </w:trPr>
        <w:tc>
          <w:tcPr>
            <w:tcW w:w="224"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木薯</w:t>
            </w:r>
          </w:p>
        </w:tc>
        <w:tc>
          <w:tcPr>
            <w:tcW w:w="31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15.94</w:t>
            </w:r>
          </w:p>
        </w:tc>
        <w:tc>
          <w:tcPr>
            <w:tcW w:w="296" w:type="pct"/>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01"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59.83</w:t>
            </w:r>
          </w:p>
        </w:tc>
        <w:tc>
          <w:tcPr>
            <w:tcW w:w="299" w:type="pct"/>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01"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75.77</w:t>
            </w:r>
          </w:p>
        </w:tc>
        <w:tc>
          <w:tcPr>
            <w:tcW w:w="301" w:type="pct"/>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01"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15.10</w:t>
            </w:r>
          </w:p>
        </w:tc>
        <w:tc>
          <w:tcPr>
            <w:tcW w:w="300" w:type="pct"/>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00"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59.42</w:t>
            </w:r>
          </w:p>
        </w:tc>
        <w:tc>
          <w:tcPr>
            <w:tcW w:w="300" w:type="pct"/>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01"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74.55</w:t>
            </w:r>
          </w:p>
        </w:tc>
        <w:tc>
          <w:tcPr>
            <w:tcW w:w="297" w:type="pct"/>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51" w:type="pct"/>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400" w:type="pct"/>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411" w:type="pct"/>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r>
      <w:tr>
        <w:tblPrEx>
          <w:tblCellMar>
            <w:top w:w="0" w:type="dxa"/>
            <w:left w:w="108" w:type="dxa"/>
            <w:bottom w:w="0" w:type="dxa"/>
            <w:right w:w="108" w:type="dxa"/>
          </w:tblCellMar>
        </w:tblPrEx>
        <w:trPr>
          <w:trHeight w:val="567" w:hRule="atLeast"/>
        </w:trPr>
        <w:tc>
          <w:tcPr>
            <w:tcW w:w="224"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土豆</w:t>
            </w:r>
          </w:p>
        </w:tc>
        <w:tc>
          <w:tcPr>
            <w:tcW w:w="31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20.13</w:t>
            </w:r>
          </w:p>
        </w:tc>
        <w:tc>
          <w:tcPr>
            <w:tcW w:w="296" w:type="pct"/>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20.13</w:t>
            </w:r>
          </w:p>
        </w:tc>
        <w:tc>
          <w:tcPr>
            <w:tcW w:w="301"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72.32</w:t>
            </w:r>
          </w:p>
        </w:tc>
        <w:tc>
          <w:tcPr>
            <w:tcW w:w="299" w:type="pct"/>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72.55</w:t>
            </w:r>
          </w:p>
        </w:tc>
        <w:tc>
          <w:tcPr>
            <w:tcW w:w="301"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92.45</w:t>
            </w:r>
          </w:p>
        </w:tc>
        <w:tc>
          <w:tcPr>
            <w:tcW w:w="301" w:type="pct"/>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92.68</w:t>
            </w:r>
          </w:p>
        </w:tc>
        <w:tc>
          <w:tcPr>
            <w:tcW w:w="301"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19.38</w:t>
            </w:r>
          </w:p>
        </w:tc>
        <w:tc>
          <w:tcPr>
            <w:tcW w:w="300" w:type="pct"/>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19.52</w:t>
            </w:r>
          </w:p>
        </w:tc>
        <w:tc>
          <w:tcPr>
            <w:tcW w:w="300"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75.79</w:t>
            </w:r>
          </w:p>
        </w:tc>
        <w:tc>
          <w:tcPr>
            <w:tcW w:w="300" w:type="pct"/>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75.51</w:t>
            </w:r>
          </w:p>
        </w:tc>
        <w:tc>
          <w:tcPr>
            <w:tcW w:w="301"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95.17</w:t>
            </w:r>
          </w:p>
        </w:tc>
        <w:tc>
          <w:tcPr>
            <w:tcW w:w="297" w:type="pct"/>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95.04</w:t>
            </w:r>
          </w:p>
        </w:tc>
        <w:tc>
          <w:tcPr>
            <w:tcW w:w="351" w:type="pct"/>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3.08</w:t>
            </w:r>
          </w:p>
        </w:tc>
        <w:tc>
          <w:tcPr>
            <w:tcW w:w="400" w:type="pct"/>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4.00</w:t>
            </w:r>
          </w:p>
        </w:tc>
        <w:tc>
          <w:tcPr>
            <w:tcW w:w="411" w:type="pct"/>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2.51</w:t>
            </w:r>
          </w:p>
        </w:tc>
      </w:tr>
      <w:tr>
        <w:tblPrEx>
          <w:tblCellMar>
            <w:top w:w="0" w:type="dxa"/>
            <w:left w:w="108" w:type="dxa"/>
            <w:bottom w:w="0" w:type="dxa"/>
            <w:right w:w="108" w:type="dxa"/>
          </w:tblCellMar>
        </w:tblPrEx>
        <w:trPr>
          <w:trHeight w:val="567" w:hRule="atLeast"/>
        </w:trPr>
        <w:tc>
          <w:tcPr>
            <w:tcW w:w="224"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土豆</w:t>
            </w:r>
          </w:p>
        </w:tc>
        <w:tc>
          <w:tcPr>
            <w:tcW w:w="31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20.03</w:t>
            </w:r>
          </w:p>
        </w:tc>
        <w:tc>
          <w:tcPr>
            <w:tcW w:w="296" w:type="pct"/>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01"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72.32</w:t>
            </w:r>
          </w:p>
        </w:tc>
        <w:tc>
          <w:tcPr>
            <w:tcW w:w="299" w:type="pct"/>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01"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92.35</w:t>
            </w:r>
          </w:p>
        </w:tc>
        <w:tc>
          <w:tcPr>
            <w:tcW w:w="301" w:type="pct"/>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01"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19.72</w:t>
            </w:r>
          </w:p>
        </w:tc>
        <w:tc>
          <w:tcPr>
            <w:tcW w:w="300" w:type="pct"/>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00"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76.72</w:t>
            </w:r>
          </w:p>
        </w:tc>
        <w:tc>
          <w:tcPr>
            <w:tcW w:w="300" w:type="pct"/>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01"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96.44</w:t>
            </w:r>
          </w:p>
        </w:tc>
        <w:tc>
          <w:tcPr>
            <w:tcW w:w="297" w:type="pct"/>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51" w:type="pct"/>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400" w:type="pct"/>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411" w:type="pct"/>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r>
      <w:tr>
        <w:tblPrEx>
          <w:tblCellMar>
            <w:top w:w="0" w:type="dxa"/>
            <w:left w:w="108" w:type="dxa"/>
            <w:bottom w:w="0" w:type="dxa"/>
            <w:right w:w="108" w:type="dxa"/>
          </w:tblCellMar>
        </w:tblPrEx>
        <w:trPr>
          <w:trHeight w:val="567" w:hRule="atLeast"/>
        </w:trPr>
        <w:tc>
          <w:tcPr>
            <w:tcW w:w="224"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土豆</w:t>
            </w:r>
          </w:p>
        </w:tc>
        <w:tc>
          <w:tcPr>
            <w:tcW w:w="31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20.23</w:t>
            </w:r>
          </w:p>
        </w:tc>
        <w:tc>
          <w:tcPr>
            <w:tcW w:w="296" w:type="pct"/>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01"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73.01</w:t>
            </w:r>
          </w:p>
        </w:tc>
        <w:tc>
          <w:tcPr>
            <w:tcW w:w="299" w:type="pct"/>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01"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93.24</w:t>
            </w:r>
          </w:p>
        </w:tc>
        <w:tc>
          <w:tcPr>
            <w:tcW w:w="301" w:type="pct"/>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01"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19.47</w:t>
            </w:r>
          </w:p>
        </w:tc>
        <w:tc>
          <w:tcPr>
            <w:tcW w:w="300" w:type="pct"/>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00"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74.03</w:t>
            </w:r>
          </w:p>
        </w:tc>
        <w:tc>
          <w:tcPr>
            <w:tcW w:w="300" w:type="pct"/>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01"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93.5</w:t>
            </w:r>
          </w:p>
        </w:tc>
        <w:tc>
          <w:tcPr>
            <w:tcW w:w="297" w:type="pct"/>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51" w:type="pct"/>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400" w:type="pct"/>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411" w:type="pct"/>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r>
    </w:tbl>
    <w:p>
      <w:pPr>
        <w:ind w:firstLine="560" w:firstLineChars="200"/>
        <w:jc w:val="center"/>
        <w:rPr>
          <w:rFonts w:ascii="黑体" w:hAnsi="黑体" w:eastAsia="黑体" w:cs="黑体"/>
          <w:bCs/>
          <w:color w:val="000000" w:themeColor="text1"/>
          <w:sz w:val="28"/>
          <w:szCs w:val="32"/>
          <w:highlight w:val="none"/>
          <w:lang w:val="zh-CN"/>
        </w:rPr>
      </w:pPr>
      <w:r>
        <w:rPr>
          <w:rFonts w:hint="eastAsia" w:ascii="黑体" w:hAnsi="黑体" w:eastAsia="黑体" w:cs="黑体"/>
          <w:bCs/>
          <w:color w:val="000000" w:themeColor="text1"/>
          <w:sz w:val="28"/>
          <w:szCs w:val="32"/>
          <w:highlight w:val="none"/>
          <w:lang w:val="zh-CN"/>
        </w:rPr>
        <w:t>表6 样品准确度测定结果</w:t>
      </w:r>
    </w:p>
    <w:p>
      <w:pPr>
        <w:pStyle w:val="14"/>
        <w:adjustRightInd w:val="0"/>
        <w:snapToGrid w:val="0"/>
        <w:spacing w:beforeLines="50" w:line="360" w:lineRule="auto"/>
        <w:ind w:firstLine="0" w:firstLineChars="0"/>
        <w:jc w:val="center"/>
        <w:rPr>
          <w:rFonts w:ascii="黑体" w:hAnsi="黑体" w:eastAsia="黑体" w:cs="黑体"/>
          <w:bCs/>
          <w:color w:val="000000" w:themeColor="text1"/>
          <w:sz w:val="28"/>
          <w:szCs w:val="32"/>
          <w:highlight w:val="none"/>
          <w:lang w:val="zh-CN"/>
        </w:rPr>
        <w:sectPr>
          <w:pgSz w:w="16838" w:h="11906" w:orient="landscape"/>
          <w:pgMar w:top="1418" w:right="1440" w:bottom="1418" w:left="1440" w:header="851" w:footer="992" w:gutter="0"/>
          <w:cols w:space="720" w:num="1"/>
          <w:docGrid w:type="linesAndChars" w:linePitch="312" w:charSpace="0"/>
        </w:sectPr>
      </w:pPr>
    </w:p>
    <w:p>
      <w:pPr>
        <w:pStyle w:val="14"/>
        <w:numPr>
          <w:ilvl w:val="0"/>
          <w:numId w:val="5"/>
        </w:numPr>
        <w:adjustRightInd w:val="0"/>
        <w:snapToGrid w:val="0"/>
        <w:spacing w:beforeLines="50" w:line="360" w:lineRule="auto"/>
        <w:ind w:left="0" w:firstLine="0" w:firstLineChars="0"/>
        <w:outlineLvl w:val="1"/>
        <w:rPr>
          <w:rFonts w:ascii="黑体" w:hAnsi="黑体" w:eastAsia="黑体" w:cs="黑体"/>
          <w:bCs/>
          <w:color w:val="000000" w:themeColor="text1"/>
          <w:sz w:val="32"/>
          <w:szCs w:val="32"/>
          <w:lang w:val="zh-CN"/>
        </w:rPr>
      </w:pPr>
      <w:r>
        <w:rPr>
          <w:rFonts w:hint="eastAsia" w:ascii="黑体" w:hAnsi="黑体" w:eastAsia="黑体" w:cs="黑体"/>
          <w:bCs/>
          <w:color w:val="000000" w:themeColor="text1"/>
          <w:sz w:val="32"/>
          <w:szCs w:val="32"/>
          <w:lang w:val="zh-CN"/>
        </w:rPr>
        <w:t>实验数据的精密度</w:t>
      </w:r>
    </w:p>
    <w:p>
      <w:pPr>
        <w:pStyle w:val="14"/>
        <w:adjustRightInd w:val="0"/>
        <w:snapToGrid w:val="0"/>
        <w:spacing w:beforeLines="50" w:line="360" w:lineRule="auto"/>
        <w:ind w:firstLine="0" w:firstLineChars="0"/>
        <w:jc w:val="left"/>
        <w:rPr>
          <w:rFonts w:ascii="仿宋_GB2312" w:hAnsi="宋体" w:eastAsia="仿宋_GB2312"/>
          <w:color w:val="000000" w:themeColor="text1"/>
          <w:sz w:val="28"/>
          <w:szCs w:val="28"/>
          <w:highlight w:val="none"/>
        </w:rPr>
      </w:pPr>
      <w:r>
        <w:rPr>
          <w:rFonts w:hint="eastAsia" w:ascii="仿宋_GB2312" w:hAnsi="宋体" w:eastAsia="仿宋_GB2312"/>
          <w:color w:val="000000" w:themeColor="text1"/>
          <w:sz w:val="28"/>
          <w:szCs w:val="28"/>
        </w:rPr>
        <w:t>按实验方法对薯类样品进行测定，样品计算结果以干基计。从测定结果可以看出，见表7、8。广西壮族自治区粮油质量检验中心</w:t>
      </w:r>
      <w:r>
        <w:rPr>
          <w:rFonts w:ascii="仿宋_GB2312" w:hAnsi="宋体" w:eastAsia="仿宋_GB2312"/>
          <w:color w:val="000000" w:themeColor="text1"/>
          <w:sz w:val="28"/>
          <w:szCs w:val="28"/>
        </w:rPr>
        <w:t>样品</w:t>
      </w:r>
      <w:r>
        <w:rPr>
          <w:rFonts w:hint="eastAsia" w:ascii="仿宋_GB2312" w:hAnsi="宋体" w:eastAsia="仿宋_GB2312"/>
          <w:color w:val="000000" w:themeColor="text1"/>
          <w:sz w:val="28"/>
          <w:szCs w:val="28"/>
        </w:rPr>
        <w:t>精密度</w:t>
      </w:r>
      <w:r>
        <w:rPr>
          <w:rFonts w:ascii="仿宋_GB2312" w:hAnsi="宋体" w:eastAsia="仿宋_GB2312"/>
          <w:color w:val="000000" w:themeColor="text1"/>
          <w:sz w:val="28"/>
          <w:szCs w:val="28"/>
        </w:rPr>
        <w:t>测定结果</w:t>
      </w:r>
      <w:r>
        <w:rPr>
          <w:rFonts w:hint="eastAsia" w:ascii="仿宋_GB2312" w:hAnsi="宋体" w:eastAsia="仿宋_GB2312"/>
          <w:color w:val="000000" w:themeColor="text1"/>
          <w:sz w:val="28"/>
          <w:szCs w:val="28"/>
        </w:rPr>
        <w:t>相对标准偏差RSD在(0.00%-2.25%)之间；广西壮族自治区农业科学院农产品质量安全与检验技术研究所</w:t>
      </w:r>
      <w:r>
        <w:rPr>
          <w:rFonts w:ascii="仿宋_GB2312" w:hAnsi="宋体" w:eastAsia="仿宋_GB2312"/>
          <w:color w:val="000000" w:themeColor="text1"/>
          <w:sz w:val="28"/>
          <w:szCs w:val="28"/>
        </w:rPr>
        <w:t>样品</w:t>
      </w:r>
      <w:r>
        <w:rPr>
          <w:rFonts w:hint="eastAsia" w:ascii="仿宋_GB2312" w:hAnsi="宋体" w:eastAsia="仿宋_GB2312"/>
          <w:color w:val="000000" w:themeColor="text1"/>
          <w:sz w:val="28"/>
          <w:szCs w:val="28"/>
        </w:rPr>
        <w:t>精密度</w:t>
      </w:r>
      <w:r>
        <w:rPr>
          <w:rFonts w:ascii="仿宋_GB2312" w:hAnsi="宋体" w:eastAsia="仿宋_GB2312"/>
          <w:color w:val="000000" w:themeColor="text1"/>
          <w:sz w:val="28"/>
          <w:szCs w:val="28"/>
        </w:rPr>
        <w:t>测定结果</w:t>
      </w:r>
      <w:r>
        <w:rPr>
          <w:rFonts w:hint="eastAsia" w:ascii="仿宋_GB2312" w:hAnsi="宋体" w:eastAsia="仿宋_GB2312"/>
          <w:color w:val="000000" w:themeColor="text1"/>
          <w:sz w:val="28"/>
          <w:szCs w:val="28"/>
        </w:rPr>
        <w:t>相对标准偏差RSD在(0.24%-2.11%)之间，均</w:t>
      </w:r>
      <w:r>
        <w:rPr>
          <w:rFonts w:hint="eastAsia" w:ascii="仿宋_GB2312" w:hAnsi="宋体" w:eastAsia="仿宋_GB2312"/>
          <w:color w:val="000000" w:themeColor="text1"/>
          <w:sz w:val="28"/>
          <w:szCs w:val="28"/>
          <w:highlight w:val="none"/>
        </w:rPr>
        <w:t>小于3%，说明方法的精密度高。</w:t>
      </w:r>
    </w:p>
    <w:p>
      <w:pPr>
        <w:pStyle w:val="14"/>
        <w:adjustRightInd w:val="0"/>
        <w:snapToGrid w:val="0"/>
        <w:spacing w:beforeLines="50" w:line="360" w:lineRule="auto"/>
        <w:ind w:firstLine="0" w:firstLineChars="0"/>
        <w:jc w:val="center"/>
        <w:rPr>
          <w:rFonts w:hint="eastAsia" w:ascii="黑体" w:hAnsi="黑体" w:eastAsia="黑体" w:cs="黑体"/>
          <w:bCs/>
          <w:color w:val="000000" w:themeColor="text1"/>
          <w:sz w:val="28"/>
          <w:szCs w:val="32"/>
          <w:highlight w:val="none"/>
          <w:lang w:val="zh-CN"/>
        </w:rPr>
      </w:pPr>
      <w:r>
        <w:rPr>
          <w:rFonts w:hint="eastAsia" w:ascii="黑体" w:hAnsi="黑体" w:eastAsia="黑体" w:cs="黑体"/>
          <w:bCs/>
          <w:color w:val="000000" w:themeColor="text1"/>
          <w:sz w:val="28"/>
          <w:szCs w:val="32"/>
          <w:highlight w:val="none"/>
          <w:lang w:val="zh-CN"/>
        </w:rPr>
        <w:t>表7广西壮族自治区粮油质量检验中心</w:t>
      </w:r>
      <w:r>
        <w:rPr>
          <w:rFonts w:ascii="黑体" w:hAnsi="黑体" w:eastAsia="黑体" w:cs="黑体"/>
          <w:bCs/>
          <w:color w:val="000000" w:themeColor="text1"/>
          <w:sz w:val="28"/>
          <w:szCs w:val="32"/>
          <w:highlight w:val="none"/>
          <w:lang w:val="zh-CN"/>
        </w:rPr>
        <w:t>样品</w:t>
      </w:r>
      <w:r>
        <w:rPr>
          <w:rFonts w:hint="eastAsia" w:ascii="黑体" w:hAnsi="黑体" w:eastAsia="黑体" w:cs="黑体"/>
          <w:bCs/>
          <w:color w:val="000000" w:themeColor="text1"/>
          <w:sz w:val="28"/>
          <w:szCs w:val="32"/>
          <w:highlight w:val="none"/>
          <w:lang w:val="zh-CN"/>
        </w:rPr>
        <w:t>精密度</w:t>
      </w:r>
      <w:r>
        <w:rPr>
          <w:rFonts w:ascii="黑体" w:hAnsi="黑体" w:eastAsia="黑体" w:cs="黑体"/>
          <w:bCs/>
          <w:color w:val="000000" w:themeColor="text1"/>
          <w:sz w:val="28"/>
          <w:szCs w:val="32"/>
          <w:highlight w:val="none"/>
          <w:lang w:val="zh-CN"/>
        </w:rPr>
        <w:t>测定结果</w:t>
      </w:r>
    </w:p>
    <w:tbl>
      <w:tblPr>
        <w:tblStyle w:val="10"/>
        <w:tblW w:w="9112" w:type="dxa"/>
        <w:tblInd w:w="96" w:type="dxa"/>
        <w:tblLayout w:type="autofit"/>
        <w:tblCellMar>
          <w:top w:w="0" w:type="dxa"/>
          <w:left w:w="108" w:type="dxa"/>
          <w:bottom w:w="0" w:type="dxa"/>
          <w:right w:w="108" w:type="dxa"/>
        </w:tblCellMar>
      </w:tblPr>
      <w:tblGrid>
        <w:gridCol w:w="721"/>
        <w:gridCol w:w="1134"/>
        <w:gridCol w:w="816"/>
        <w:gridCol w:w="743"/>
        <w:gridCol w:w="1134"/>
        <w:gridCol w:w="851"/>
        <w:gridCol w:w="850"/>
        <w:gridCol w:w="993"/>
        <w:gridCol w:w="992"/>
        <w:gridCol w:w="878"/>
      </w:tblGrid>
      <w:tr>
        <w:tblPrEx>
          <w:tblCellMar>
            <w:top w:w="0" w:type="dxa"/>
            <w:left w:w="108" w:type="dxa"/>
            <w:bottom w:w="0" w:type="dxa"/>
            <w:right w:w="108" w:type="dxa"/>
          </w:tblCellMar>
        </w:tblPrEx>
        <w:trPr>
          <w:trHeight w:val="285" w:hRule="atLeast"/>
        </w:trPr>
        <w:tc>
          <w:tcPr>
            <w:tcW w:w="72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样品名称</w:t>
            </w:r>
          </w:p>
        </w:tc>
        <w:tc>
          <w:tcPr>
            <w:tcW w:w="1134"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直链淀粉含量%</w:t>
            </w:r>
          </w:p>
        </w:tc>
        <w:tc>
          <w:tcPr>
            <w:tcW w:w="81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平均值%</w:t>
            </w:r>
          </w:p>
        </w:tc>
        <w:tc>
          <w:tcPr>
            <w:tcW w:w="743"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000000"/>
                <w:kern w:val="0"/>
                <w:szCs w:val="21"/>
                <w:highlight w:val="none"/>
              </w:rPr>
            </w:pPr>
            <w:r>
              <w:rPr>
                <w:rFonts w:hint="eastAsia" w:ascii="宋体" w:hAnsi="宋体" w:cs="宋体"/>
                <w:color w:val="000000"/>
                <w:kern w:val="0"/>
                <w:szCs w:val="21"/>
                <w:highlight w:val="none"/>
              </w:rPr>
              <w:t>RSD</w:t>
            </w:r>
          </w:p>
          <w:p>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w:t>
            </w:r>
          </w:p>
        </w:tc>
        <w:tc>
          <w:tcPr>
            <w:tcW w:w="1134"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支链淀粉含量%</w:t>
            </w:r>
          </w:p>
        </w:tc>
        <w:tc>
          <w:tcPr>
            <w:tcW w:w="851"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平均值%</w:t>
            </w:r>
          </w:p>
        </w:tc>
        <w:tc>
          <w:tcPr>
            <w:tcW w:w="85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000000"/>
                <w:kern w:val="0"/>
                <w:szCs w:val="21"/>
                <w:highlight w:val="none"/>
              </w:rPr>
            </w:pPr>
            <w:r>
              <w:rPr>
                <w:rFonts w:hint="eastAsia" w:ascii="宋体" w:hAnsi="宋体" w:cs="宋体"/>
                <w:color w:val="000000"/>
                <w:kern w:val="0"/>
                <w:szCs w:val="21"/>
                <w:highlight w:val="none"/>
              </w:rPr>
              <w:t>RSD</w:t>
            </w:r>
          </w:p>
          <w:p>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w:t>
            </w:r>
          </w:p>
        </w:tc>
        <w:tc>
          <w:tcPr>
            <w:tcW w:w="993"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总淀粉含量%</w:t>
            </w:r>
          </w:p>
        </w:tc>
        <w:tc>
          <w:tcPr>
            <w:tcW w:w="992"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平均值%</w:t>
            </w:r>
          </w:p>
        </w:tc>
        <w:tc>
          <w:tcPr>
            <w:tcW w:w="878"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000000"/>
                <w:kern w:val="0"/>
                <w:szCs w:val="21"/>
                <w:highlight w:val="none"/>
              </w:rPr>
            </w:pPr>
            <w:r>
              <w:rPr>
                <w:rFonts w:hint="eastAsia" w:ascii="宋体" w:hAnsi="宋体" w:cs="宋体"/>
                <w:color w:val="000000"/>
                <w:kern w:val="0"/>
                <w:szCs w:val="21"/>
                <w:highlight w:val="none"/>
              </w:rPr>
              <w:t>RSD</w:t>
            </w:r>
          </w:p>
          <w:p>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w:t>
            </w:r>
          </w:p>
        </w:tc>
      </w:tr>
      <w:tr>
        <w:tblPrEx>
          <w:tblCellMar>
            <w:top w:w="0" w:type="dxa"/>
            <w:left w:w="108" w:type="dxa"/>
            <w:bottom w:w="0" w:type="dxa"/>
            <w:right w:w="108" w:type="dxa"/>
          </w:tblCellMar>
        </w:tblPrEx>
        <w:trPr>
          <w:trHeight w:val="285" w:hRule="atLeast"/>
        </w:trPr>
        <w:tc>
          <w:tcPr>
            <w:tcW w:w="72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红薯</w:t>
            </w: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4.38</w:t>
            </w:r>
          </w:p>
        </w:tc>
        <w:tc>
          <w:tcPr>
            <w:tcW w:w="81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4.38</w:t>
            </w:r>
          </w:p>
        </w:tc>
        <w:tc>
          <w:tcPr>
            <w:tcW w:w="743"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0.00</w:t>
            </w: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44.56</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43.63</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2.25</w:t>
            </w:r>
          </w:p>
        </w:tc>
        <w:tc>
          <w:tcPr>
            <w:tcW w:w="99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48.94</w:t>
            </w:r>
          </w:p>
        </w:tc>
        <w:tc>
          <w:tcPr>
            <w:tcW w:w="992"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48.01</w:t>
            </w:r>
          </w:p>
        </w:tc>
        <w:tc>
          <w:tcPr>
            <w:tcW w:w="87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2.04</w:t>
            </w:r>
          </w:p>
        </w:tc>
      </w:tr>
      <w:tr>
        <w:tblPrEx>
          <w:tblCellMar>
            <w:top w:w="0" w:type="dxa"/>
            <w:left w:w="108" w:type="dxa"/>
            <w:bottom w:w="0" w:type="dxa"/>
            <w:right w:w="108" w:type="dxa"/>
          </w:tblCellMar>
        </w:tblPrEx>
        <w:trPr>
          <w:trHeight w:val="285" w:hRule="atLeast"/>
        </w:trPr>
        <w:tc>
          <w:tcPr>
            <w:tcW w:w="72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红薯</w:t>
            </w: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4.38</w:t>
            </w:r>
          </w:p>
        </w:tc>
        <w:tc>
          <w:tcPr>
            <w:tcW w:w="816"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highlight w:val="none"/>
              </w:rPr>
            </w:pPr>
          </w:p>
        </w:tc>
        <w:tc>
          <w:tcPr>
            <w:tcW w:w="743"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highlight w:val="none"/>
              </w:rPr>
            </w:pP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43.17</w:t>
            </w:r>
          </w:p>
        </w:tc>
        <w:tc>
          <w:tcPr>
            <w:tcW w:w="851"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highlight w:val="none"/>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highlight w:val="none"/>
              </w:rPr>
            </w:pPr>
          </w:p>
        </w:tc>
        <w:tc>
          <w:tcPr>
            <w:tcW w:w="99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47.55</w:t>
            </w:r>
          </w:p>
        </w:tc>
        <w:tc>
          <w:tcPr>
            <w:tcW w:w="992"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highlight w:val="none"/>
              </w:rPr>
            </w:pPr>
          </w:p>
        </w:tc>
        <w:tc>
          <w:tcPr>
            <w:tcW w:w="878"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highlight w:val="none"/>
              </w:rPr>
            </w:pPr>
          </w:p>
        </w:tc>
      </w:tr>
      <w:tr>
        <w:tblPrEx>
          <w:tblCellMar>
            <w:top w:w="0" w:type="dxa"/>
            <w:left w:w="108" w:type="dxa"/>
            <w:bottom w:w="0" w:type="dxa"/>
            <w:right w:w="108" w:type="dxa"/>
          </w:tblCellMar>
        </w:tblPrEx>
        <w:trPr>
          <w:trHeight w:val="285" w:hRule="atLeast"/>
        </w:trPr>
        <w:tc>
          <w:tcPr>
            <w:tcW w:w="72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红薯</w:t>
            </w: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4.38</w:t>
            </w:r>
          </w:p>
        </w:tc>
        <w:tc>
          <w:tcPr>
            <w:tcW w:w="816"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highlight w:val="none"/>
              </w:rPr>
            </w:pPr>
          </w:p>
        </w:tc>
        <w:tc>
          <w:tcPr>
            <w:tcW w:w="743"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highlight w:val="none"/>
              </w:rPr>
            </w:pP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43.17</w:t>
            </w:r>
          </w:p>
        </w:tc>
        <w:tc>
          <w:tcPr>
            <w:tcW w:w="851"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highlight w:val="none"/>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highlight w:val="none"/>
              </w:rPr>
            </w:pPr>
          </w:p>
        </w:tc>
        <w:tc>
          <w:tcPr>
            <w:tcW w:w="99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47.55</w:t>
            </w:r>
          </w:p>
        </w:tc>
        <w:tc>
          <w:tcPr>
            <w:tcW w:w="992"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highlight w:val="none"/>
              </w:rPr>
            </w:pPr>
          </w:p>
        </w:tc>
        <w:tc>
          <w:tcPr>
            <w:tcW w:w="878"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highlight w:val="none"/>
              </w:rPr>
            </w:pPr>
          </w:p>
        </w:tc>
      </w:tr>
      <w:tr>
        <w:tblPrEx>
          <w:tblCellMar>
            <w:top w:w="0" w:type="dxa"/>
            <w:left w:w="108" w:type="dxa"/>
            <w:bottom w:w="0" w:type="dxa"/>
            <w:right w:w="108" w:type="dxa"/>
          </w:tblCellMar>
        </w:tblPrEx>
        <w:trPr>
          <w:trHeight w:val="285" w:hRule="atLeast"/>
        </w:trPr>
        <w:tc>
          <w:tcPr>
            <w:tcW w:w="72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木薯</w:t>
            </w: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15.44</w:t>
            </w:r>
          </w:p>
        </w:tc>
        <w:tc>
          <w:tcPr>
            <w:tcW w:w="81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15.77</w:t>
            </w:r>
          </w:p>
        </w:tc>
        <w:tc>
          <w:tcPr>
            <w:tcW w:w="743"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2.22</w:t>
            </w: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60.52</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60.06</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0.82</w:t>
            </w:r>
          </w:p>
        </w:tc>
        <w:tc>
          <w:tcPr>
            <w:tcW w:w="99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75.96</w:t>
            </w:r>
          </w:p>
        </w:tc>
        <w:tc>
          <w:tcPr>
            <w:tcW w:w="992"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75.83</w:t>
            </w:r>
          </w:p>
        </w:tc>
        <w:tc>
          <w:tcPr>
            <w:tcW w:w="87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0.17</w:t>
            </w:r>
          </w:p>
        </w:tc>
      </w:tr>
      <w:tr>
        <w:tblPrEx>
          <w:tblCellMar>
            <w:top w:w="0" w:type="dxa"/>
            <w:left w:w="108" w:type="dxa"/>
            <w:bottom w:w="0" w:type="dxa"/>
            <w:right w:w="108" w:type="dxa"/>
          </w:tblCellMar>
        </w:tblPrEx>
        <w:trPr>
          <w:trHeight w:val="285" w:hRule="atLeast"/>
        </w:trPr>
        <w:tc>
          <w:tcPr>
            <w:tcW w:w="72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木薯</w:t>
            </w: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15.94</w:t>
            </w:r>
          </w:p>
        </w:tc>
        <w:tc>
          <w:tcPr>
            <w:tcW w:w="816"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highlight w:val="none"/>
              </w:rPr>
            </w:pPr>
          </w:p>
        </w:tc>
        <w:tc>
          <w:tcPr>
            <w:tcW w:w="743"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highlight w:val="none"/>
              </w:rPr>
            </w:pP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59.83</w:t>
            </w:r>
          </w:p>
        </w:tc>
        <w:tc>
          <w:tcPr>
            <w:tcW w:w="851"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highlight w:val="none"/>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highlight w:val="none"/>
              </w:rPr>
            </w:pPr>
          </w:p>
        </w:tc>
        <w:tc>
          <w:tcPr>
            <w:tcW w:w="99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75.77</w:t>
            </w:r>
          </w:p>
        </w:tc>
        <w:tc>
          <w:tcPr>
            <w:tcW w:w="992"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highlight w:val="none"/>
              </w:rPr>
            </w:pPr>
          </w:p>
        </w:tc>
        <w:tc>
          <w:tcPr>
            <w:tcW w:w="878"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highlight w:val="none"/>
              </w:rPr>
            </w:pPr>
          </w:p>
        </w:tc>
      </w:tr>
      <w:tr>
        <w:tblPrEx>
          <w:tblCellMar>
            <w:top w:w="0" w:type="dxa"/>
            <w:left w:w="108" w:type="dxa"/>
            <w:bottom w:w="0" w:type="dxa"/>
            <w:right w:w="108" w:type="dxa"/>
          </w:tblCellMar>
        </w:tblPrEx>
        <w:trPr>
          <w:trHeight w:val="285" w:hRule="atLeast"/>
        </w:trPr>
        <w:tc>
          <w:tcPr>
            <w:tcW w:w="72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木薯</w:t>
            </w: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15.94</w:t>
            </w:r>
          </w:p>
        </w:tc>
        <w:tc>
          <w:tcPr>
            <w:tcW w:w="816"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highlight w:val="none"/>
              </w:rPr>
            </w:pPr>
          </w:p>
        </w:tc>
        <w:tc>
          <w:tcPr>
            <w:tcW w:w="743"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highlight w:val="none"/>
              </w:rPr>
            </w:pP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59.83</w:t>
            </w:r>
          </w:p>
        </w:tc>
        <w:tc>
          <w:tcPr>
            <w:tcW w:w="851"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highlight w:val="none"/>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highlight w:val="none"/>
              </w:rPr>
            </w:pPr>
          </w:p>
        </w:tc>
        <w:tc>
          <w:tcPr>
            <w:tcW w:w="99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75.77</w:t>
            </w:r>
          </w:p>
        </w:tc>
        <w:tc>
          <w:tcPr>
            <w:tcW w:w="992"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highlight w:val="none"/>
              </w:rPr>
            </w:pPr>
          </w:p>
        </w:tc>
        <w:tc>
          <w:tcPr>
            <w:tcW w:w="878"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highlight w:val="none"/>
              </w:rPr>
            </w:pPr>
          </w:p>
        </w:tc>
      </w:tr>
      <w:tr>
        <w:tblPrEx>
          <w:tblCellMar>
            <w:top w:w="0" w:type="dxa"/>
            <w:left w:w="108" w:type="dxa"/>
            <w:bottom w:w="0" w:type="dxa"/>
            <w:right w:w="108" w:type="dxa"/>
          </w:tblCellMar>
        </w:tblPrEx>
        <w:trPr>
          <w:trHeight w:val="285" w:hRule="atLeast"/>
        </w:trPr>
        <w:tc>
          <w:tcPr>
            <w:tcW w:w="72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土豆</w:t>
            </w: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20.13</w:t>
            </w:r>
          </w:p>
        </w:tc>
        <w:tc>
          <w:tcPr>
            <w:tcW w:w="81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20.13</w:t>
            </w:r>
          </w:p>
        </w:tc>
        <w:tc>
          <w:tcPr>
            <w:tcW w:w="743"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0.35</w:t>
            </w: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72.32</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72.55</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0.68</w:t>
            </w:r>
          </w:p>
        </w:tc>
        <w:tc>
          <w:tcPr>
            <w:tcW w:w="99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92.45</w:t>
            </w:r>
          </w:p>
        </w:tc>
        <w:tc>
          <w:tcPr>
            <w:tcW w:w="992"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92.68</w:t>
            </w:r>
          </w:p>
        </w:tc>
        <w:tc>
          <w:tcPr>
            <w:tcW w:w="87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0.60</w:t>
            </w:r>
          </w:p>
        </w:tc>
      </w:tr>
      <w:tr>
        <w:tblPrEx>
          <w:tblCellMar>
            <w:top w:w="0" w:type="dxa"/>
            <w:left w:w="108" w:type="dxa"/>
            <w:bottom w:w="0" w:type="dxa"/>
            <w:right w:w="108" w:type="dxa"/>
          </w:tblCellMar>
        </w:tblPrEx>
        <w:trPr>
          <w:trHeight w:val="285" w:hRule="atLeast"/>
        </w:trPr>
        <w:tc>
          <w:tcPr>
            <w:tcW w:w="72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土豆</w:t>
            </w: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20.03</w:t>
            </w:r>
          </w:p>
        </w:tc>
        <w:tc>
          <w:tcPr>
            <w:tcW w:w="816"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highlight w:val="none"/>
              </w:rPr>
            </w:pPr>
          </w:p>
        </w:tc>
        <w:tc>
          <w:tcPr>
            <w:tcW w:w="743"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highlight w:val="none"/>
              </w:rPr>
            </w:pP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72.32</w:t>
            </w:r>
          </w:p>
        </w:tc>
        <w:tc>
          <w:tcPr>
            <w:tcW w:w="851"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highlight w:val="none"/>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highlight w:val="none"/>
              </w:rPr>
            </w:pPr>
          </w:p>
        </w:tc>
        <w:tc>
          <w:tcPr>
            <w:tcW w:w="99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92.35</w:t>
            </w:r>
          </w:p>
        </w:tc>
        <w:tc>
          <w:tcPr>
            <w:tcW w:w="992"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highlight w:val="none"/>
              </w:rPr>
            </w:pPr>
          </w:p>
        </w:tc>
        <w:tc>
          <w:tcPr>
            <w:tcW w:w="878"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highlight w:val="none"/>
              </w:rPr>
            </w:pPr>
          </w:p>
        </w:tc>
      </w:tr>
      <w:tr>
        <w:tblPrEx>
          <w:tblCellMar>
            <w:top w:w="0" w:type="dxa"/>
            <w:left w:w="108" w:type="dxa"/>
            <w:bottom w:w="0" w:type="dxa"/>
            <w:right w:w="108" w:type="dxa"/>
          </w:tblCellMar>
        </w:tblPrEx>
        <w:trPr>
          <w:trHeight w:val="285" w:hRule="atLeast"/>
        </w:trPr>
        <w:tc>
          <w:tcPr>
            <w:tcW w:w="72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土豆</w:t>
            </w: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20.23</w:t>
            </w:r>
          </w:p>
        </w:tc>
        <w:tc>
          <w:tcPr>
            <w:tcW w:w="816"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highlight w:val="none"/>
              </w:rPr>
            </w:pPr>
          </w:p>
        </w:tc>
        <w:tc>
          <w:tcPr>
            <w:tcW w:w="743"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highlight w:val="none"/>
              </w:rPr>
            </w:pP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73.01</w:t>
            </w:r>
          </w:p>
        </w:tc>
        <w:tc>
          <w:tcPr>
            <w:tcW w:w="851"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highlight w:val="none"/>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highlight w:val="none"/>
              </w:rPr>
            </w:pPr>
          </w:p>
        </w:tc>
        <w:tc>
          <w:tcPr>
            <w:tcW w:w="99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93.24</w:t>
            </w:r>
          </w:p>
        </w:tc>
        <w:tc>
          <w:tcPr>
            <w:tcW w:w="992"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highlight w:val="none"/>
              </w:rPr>
            </w:pPr>
          </w:p>
        </w:tc>
        <w:tc>
          <w:tcPr>
            <w:tcW w:w="878"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highlight w:val="none"/>
              </w:rPr>
            </w:pPr>
          </w:p>
        </w:tc>
      </w:tr>
    </w:tbl>
    <w:p>
      <w:pPr>
        <w:pStyle w:val="14"/>
        <w:keepNext w:val="0"/>
        <w:keepLines w:val="0"/>
        <w:pageBreakBefore w:val="0"/>
        <w:widowControl w:val="0"/>
        <w:kinsoku/>
        <w:wordWrap/>
        <w:overflowPunct/>
        <w:topLinePunct w:val="0"/>
        <w:autoSpaceDE/>
        <w:autoSpaceDN/>
        <w:bidi w:val="0"/>
        <w:adjustRightInd w:val="0"/>
        <w:snapToGrid w:val="0"/>
        <w:spacing w:beforeLines="50" w:line="240" w:lineRule="auto"/>
        <w:ind w:firstLine="0" w:firstLineChars="0"/>
        <w:jc w:val="center"/>
        <w:textAlignment w:val="auto"/>
        <w:rPr>
          <w:rFonts w:hint="eastAsia" w:ascii="黑体" w:hAnsi="黑体" w:eastAsia="黑体" w:cs="黑体"/>
          <w:bCs/>
          <w:color w:val="000000" w:themeColor="text1"/>
          <w:sz w:val="28"/>
          <w:szCs w:val="32"/>
          <w:highlight w:val="none"/>
          <w:lang w:val="zh-CN"/>
        </w:rPr>
      </w:pPr>
      <w:r>
        <w:rPr>
          <w:rFonts w:hint="eastAsia" w:ascii="黑体" w:hAnsi="黑体" w:eastAsia="黑体" w:cs="黑体"/>
          <w:bCs/>
          <w:color w:val="000000" w:themeColor="text1"/>
          <w:sz w:val="28"/>
          <w:szCs w:val="32"/>
          <w:highlight w:val="none"/>
          <w:lang w:val="zh-CN"/>
        </w:rPr>
        <w:t>表8广西壮族自治区农业科学院农产品质量安全与检验技术研究所</w:t>
      </w:r>
    </w:p>
    <w:p>
      <w:pPr>
        <w:pStyle w:val="14"/>
        <w:keepNext w:val="0"/>
        <w:keepLines w:val="0"/>
        <w:pageBreakBefore w:val="0"/>
        <w:widowControl w:val="0"/>
        <w:kinsoku/>
        <w:wordWrap/>
        <w:overflowPunct/>
        <w:topLinePunct w:val="0"/>
        <w:autoSpaceDE/>
        <w:autoSpaceDN/>
        <w:bidi w:val="0"/>
        <w:adjustRightInd w:val="0"/>
        <w:snapToGrid w:val="0"/>
        <w:spacing w:beforeLines="50" w:line="240" w:lineRule="auto"/>
        <w:ind w:firstLine="0" w:firstLineChars="0"/>
        <w:jc w:val="center"/>
        <w:textAlignment w:val="auto"/>
        <w:rPr>
          <w:rFonts w:hint="eastAsia" w:ascii="黑体" w:hAnsi="黑体" w:eastAsia="黑体" w:cs="黑体"/>
          <w:bCs/>
          <w:color w:val="000000" w:themeColor="text1"/>
          <w:sz w:val="28"/>
          <w:szCs w:val="32"/>
          <w:highlight w:val="none"/>
          <w:lang w:val="zh-CN"/>
        </w:rPr>
      </w:pPr>
      <w:r>
        <w:rPr>
          <w:rFonts w:hint="eastAsia" w:ascii="黑体" w:hAnsi="黑体" w:eastAsia="黑体" w:cs="黑体"/>
          <w:bCs/>
          <w:color w:val="000000" w:themeColor="text1"/>
          <w:sz w:val="28"/>
          <w:szCs w:val="32"/>
          <w:highlight w:val="none"/>
          <w:lang w:val="zh-CN"/>
        </w:rPr>
        <w:t>精密度</w:t>
      </w:r>
      <w:r>
        <w:rPr>
          <w:rFonts w:ascii="黑体" w:hAnsi="黑体" w:eastAsia="黑体" w:cs="黑体"/>
          <w:bCs/>
          <w:color w:val="000000" w:themeColor="text1"/>
          <w:sz w:val="28"/>
          <w:szCs w:val="32"/>
          <w:highlight w:val="none"/>
          <w:lang w:val="zh-CN"/>
        </w:rPr>
        <w:t>测定结果</w:t>
      </w:r>
    </w:p>
    <w:tbl>
      <w:tblPr>
        <w:tblStyle w:val="10"/>
        <w:tblW w:w="9084" w:type="dxa"/>
        <w:tblInd w:w="96" w:type="dxa"/>
        <w:tblLayout w:type="autofit"/>
        <w:tblCellMar>
          <w:top w:w="0" w:type="dxa"/>
          <w:left w:w="108" w:type="dxa"/>
          <w:bottom w:w="0" w:type="dxa"/>
          <w:right w:w="108" w:type="dxa"/>
        </w:tblCellMar>
      </w:tblPr>
      <w:tblGrid>
        <w:gridCol w:w="721"/>
        <w:gridCol w:w="1059"/>
        <w:gridCol w:w="816"/>
        <w:gridCol w:w="700"/>
        <w:gridCol w:w="1252"/>
        <w:gridCol w:w="851"/>
        <w:gridCol w:w="850"/>
        <w:gridCol w:w="993"/>
        <w:gridCol w:w="992"/>
        <w:gridCol w:w="850"/>
      </w:tblGrid>
      <w:tr>
        <w:tblPrEx>
          <w:tblCellMar>
            <w:top w:w="0" w:type="dxa"/>
            <w:left w:w="108" w:type="dxa"/>
            <w:bottom w:w="0" w:type="dxa"/>
            <w:right w:w="108" w:type="dxa"/>
          </w:tblCellMar>
        </w:tblPrEx>
        <w:trPr>
          <w:trHeight w:val="285" w:hRule="atLeast"/>
        </w:trPr>
        <w:tc>
          <w:tcPr>
            <w:tcW w:w="72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样品名称</w:t>
            </w:r>
          </w:p>
        </w:tc>
        <w:tc>
          <w:tcPr>
            <w:tcW w:w="1059"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直链淀粉含量%</w:t>
            </w:r>
          </w:p>
        </w:tc>
        <w:tc>
          <w:tcPr>
            <w:tcW w:w="81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平均值</w:t>
            </w:r>
          </w:p>
        </w:tc>
        <w:tc>
          <w:tcPr>
            <w:tcW w:w="70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RSD%</w:t>
            </w:r>
          </w:p>
        </w:tc>
        <w:tc>
          <w:tcPr>
            <w:tcW w:w="1252"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支链淀粉含量%</w:t>
            </w:r>
          </w:p>
        </w:tc>
        <w:tc>
          <w:tcPr>
            <w:tcW w:w="851"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平均值</w:t>
            </w:r>
          </w:p>
        </w:tc>
        <w:tc>
          <w:tcPr>
            <w:tcW w:w="85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RSD%</w:t>
            </w:r>
          </w:p>
        </w:tc>
        <w:tc>
          <w:tcPr>
            <w:tcW w:w="993"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总淀粉含量%</w:t>
            </w:r>
          </w:p>
        </w:tc>
        <w:tc>
          <w:tcPr>
            <w:tcW w:w="992"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平均值</w:t>
            </w:r>
          </w:p>
        </w:tc>
        <w:tc>
          <w:tcPr>
            <w:tcW w:w="85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RSD%</w:t>
            </w:r>
          </w:p>
        </w:tc>
      </w:tr>
      <w:tr>
        <w:tblPrEx>
          <w:tblCellMar>
            <w:top w:w="0" w:type="dxa"/>
            <w:left w:w="108" w:type="dxa"/>
            <w:bottom w:w="0" w:type="dxa"/>
            <w:right w:w="108" w:type="dxa"/>
          </w:tblCellMar>
        </w:tblPrEx>
        <w:trPr>
          <w:trHeight w:val="285" w:hRule="atLeast"/>
        </w:trPr>
        <w:tc>
          <w:tcPr>
            <w:tcW w:w="72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红薯</w:t>
            </w:r>
          </w:p>
        </w:tc>
        <w:tc>
          <w:tcPr>
            <w:tcW w:w="10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4.22</w:t>
            </w:r>
          </w:p>
        </w:tc>
        <w:tc>
          <w:tcPr>
            <w:tcW w:w="81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4.29</w:t>
            </w:r>
          </w:p>
        </w:tc>
        <w:tc>
          <w:tcPr>
            <w:tcW w:w="70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0.24</w:t>
            </w:r>
          </w:p>
        </w:tc>
        <w:tc>
          <w:tcPr>
            <w:tcW w:w="125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43.58</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43.84</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0.93</w:t>
            </w:r>
          </w:p>
        </w:tc>
        <w:tc>
          <w:tcPr>
            <w:tcW w:w="99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47.80</w:t>
            </w:r>
          </w:p>
        </w:tc>
        <w:tc>
          <w:tcPr>
            <w:tcW w:w="992"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48.13</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2.11</w:t>
            </w:r>
          </w:p>
        </w:tc>
      </w:tr>
      <w:tr>
        <w:tblPrEx>
          <w:tblCellMar>
            <w:top w:w="0" w:type="dxa"/>
            <w:left w:w="108" w:type="dxa"/>
            <w:bottom w:w="0" w:type="dxa"/>
            <w:right w:w="108" w:type="dxa"/>
          </w:tblCellMar>
        </w:tblPrEx>
        <w:trPr>
          <w:trHeight w:val="285" w:hRule="atLeast"/>
        </w:trPr>
        <w:tc>
          <w:tcPr>
            <w:tcW w:w="72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红薯</w:t>
            </w:r>
          </w:p>
        </w:tc>
        <w:tc>
          <w:tcPr>
            <w:tcW w:w="10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4.42</w:t>
            </w:r>
          </w:p>
        </w:tc>
        <w:tc>
          <w:tcPr>
            <w:tcW w:w="816"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highlight w:val="none"/>
              </w:rPr>
            </w:pPr>
          </w:p>
        </w:tc>
        <w:tc>
          <w:tcPr>
            <w:tcW w:w="70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highlight w:val="none"/>
              </w:rPr>
            </w:pPr>
          </w:p>
        </w:tc>
        <w:tc>
          <w:tcPr>
            <w:tcW w:w="125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43.05</w:t>
            </w:r>
          </w:p>
        </w:tc>
        <w:tc>
          <w:tcPr>
            <w:tcW w:w="851"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highlight w:val="none"/>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highlight w:val="none"/>
              </w:rPr>
            </w:pPr>
          </w:p>
        </w:tc>
        <w:tc>
          <w:tcPr>
            <w:tcW w:w="99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47.47</w:t>
            </w:r>
          </w:p>
        </w:tc>
        <w:tc>
          <w:tcPr>
            <w:tcW w:w="992"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highlight w:val="none"/>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highlight w:val="none"/>
              </w:rPr>
            </w:pPr>
          </w:p>
        </w:tc>
      </w:tr>
      <w:tr>
        <w:tblPrEx>
          <w:tblCellMar>
            <w:top w:w="0" w:type="dxa"/>
            <w:left w:w="108" w:type="dxa"/>
            <w:bottom w:w="0" w:type="dxa"/>
            <w:right w:w="108" w:type="dxa"/>
          </w:tblCellMar>
        </w:tblPrEx>
        <w:trPr>
          <w:trHeight w:val="285" w:hRule="atLeast"/>
        </w:trPr>
        <w:tc>
          <w:tcPr>
            <w:tcW w:w="72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红薯</w:t>
            </w:r>
          </w:p>
        </w:tc>
        <w:tc>
          <w:tcPr>
            <w:tcW w:w="10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4.24</w:t>
            </w:r>
          </w:p>
        </w:tc>
        <w:tc>
          <w:tcPr>
            <w:tcW w:w="816"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highlight w:val="none"/>
              </w:rPr>
            </w:pPr>
          </w:p>
        </w:tc>
        <w:tc>
          <w:tcPr>
            <w:tcW w:w="70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highlight w:val="none"/>
              </w:rPr>
            </w:pPr>
          </w:p>
        </w:tc>
        <w:tc>
          <w:tcPr>
            <w:tcW w:w="125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44.89</w:t>
            </w:r>
          </w:p>
        </w:tc>
        <w:tc>
          <w:tcPr>
            <w:tcW w:w="851"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highlight w:val="none"/>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highlight w:val="none"/>
              </w:rPr>
            </w:pPr>
          </w:p>
        </w:tc>
        <w:tc>
          <w:tcPr>
            <w:tcW w:w="99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49.13</w:t>
            </w:r>
          </w:p>
        </w:tc>
        <w:tc>
          <w:tcPr>
            <w:tcW w:w="992"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highlight w:val="none"/>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highlight w:val="none"/>
              </w:rPr>
            </w:pPr>
          </w:p>
        </w:tc>
      </w:tr>
      <w:tr>
        <w:tblPrEx>
          <w:tblCellMar>
            <w:top w:w="0" w:type="dxa"/>
            <w:left w:w="108" w:type="dxa"/>
            <w:bottom w:w="0" w:type="dxa"/>
            <w:right w:w="108" w:type="dxa"/>
          </w:tblCellMar>
        </w:tblPrEx>
        <w:trPr>
          <w:trHeight w:val="285" w:hRule="atLeast"/>
        </w:trPr>
        <w:tc>
          <w:tcPr>
            <w:tcW w:w="72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木薯</w:t>
            </w:r>
          </w:p>
        </w:tc>
        <w:tc>
          <w:tcPr>
            <w:tcW w:w="10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15.46</w:t>
            </w:r>
          </w:p>
        </w:tc>
        <w:tc>
          <w:tcPr>
            <w:tcW w:w="81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15.14</w:t>
            </w:r>
          </w:p>
        </w:tc>
        <w:tc>
          <w:tcPr>
            <w:tcW w:w="70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1.70</w:t>
            </w:r>
          </w:p>
        </w:tc>
        <w:tc>
          <w:tcPr>
            <w:tcW w:w="125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60.41</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60.22</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1.13</w:t>
            </w:r>
          </w:p>
        </w:tc>
        <w:tc>
          <w:tcPr>
            <w:tcW w:w="99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75.87</w:t>
            </w:r>
          </w:p>
        </w:tc>
        <w:tc>
          <w:tcPr>
            <w:tcW w:w="992"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75.37</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1.24</w:t>
            </w:r>
          </w:p>
        </w:tc>
      </w:tr>
      <w:tr>
        <w:tblPrEx>
          <w:tblCellMar>
            <w:top w:w="0" w:type="dxa"/>
            <w:left w:w="108" w:type="dxa"/>
            <w:bottom w:w="0" w:type="dxa"/>
            <w:right w:w="108" w:type="dxa"/>
          </w:tblCellMar>
        </w:tblPrEx>
        <w:trPr>
          <w:trHeight w:val="285" w:hRule="atLeast"/>
        </w:trPr>
        <w:tc>
          <w:tcPr>
            <w:tcW w:w="72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木薯</w:t>
            </w:r>
          </w:p>
        </w:tc>
        <w:tc>
          <w:tcPr>
            <w:tcW w:w="10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14.86</w:t>
            </w:r>
          </w:p>
        </w:tc>
        <w:tc>
          <w:tcPr>
            <w:tcW w:w="816"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highlight w:val="none"/>
              </w:rPr>
            </w:pPr>
          </w:p>
        </w:tc>
        <w:tc>
          <w:tcPr>
            <w:tcW w:w="70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highlight w:val="none"/>
              </w:rPr>
            </w:pPr>
          </w:p>
        </w:tc>
        <w:tc>
          <w:tcPr>
            <w:tcW w:w="125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60.82</w:t>
            </w:r>
          </w:p>
        </w:tc>
        <w:tc>
          <w:tcPr>
            <w:tcW w:w="851"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highlight w:val="none"/>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highlight w:val="none"/>
              </w:rPr>
            </w:pPr>
          </w:p>
        </w:tc>
        <w:tc>
          <w:tcPr>
            <w:tcW w:w="99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75.68</w:t>
            </w:r>
          </w:p>
        </w:tc>
        <w:tc>
          <w:tcPr>
            <w:tcW w:w="992"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highlight w:val="none"/>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highlight w:val="none"/>
              </w:rPr>
            </w:pPr>
          </w:p>
        </w:tc>
      </w:tr>
      <w:tr>
        <w:tblPrEx>
          <w:tblCellMar>
            <w:top w:w="0" w:type="dxa"/>
            <w:left w:w="108" w:type="dxa"/>
            <w:bottom w:w="0" w:type="dxa"/>
            <w:right w:w="108" w:type="dxa"/>
          </w:tblCellMar>
        </w:tblPrEx>
        <w:trPr>
          <w:trHeight w:val="285" w:hRule="atLeast"/>
        </w:trPr>
        <w:tc>
          <w:tcPr>
            <w:tcW w:w="72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木薯</w:t>
            </w:r>
          </w:p>
        </w:tc>
        <w:tc>
          <w:tcPr>
            <w:tcW w:w="10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15.10</w:t>
            </w:r>
          </w:p>
        </w:tc>
        <w:tc>
          <w:tcPr>
            <w:tcW w:w="816"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highlight w:val="none"/>
              </w:rPr>
            </w:pPr>
          </w:p>
        </w:tc>
        <w:tc>
          <w:tcPr>
            <w:tcW w:w="70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highlight w:val="none"/>
              </w:rPr>
            </w:pPr>
          </w:p>
        </w:tc>
        <w:tc>
          <w:tcPr>
            <w:tcW w:w="125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59.42</w:t>
            </w:r>
          </w:p>
        </w:tc>
        <w:tc>
          <w:tcPr>
            <w:tcW w:w="851"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highlight w:val="none"/>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highlight w:val="none"/>
              </w:rPr>
            </w:pPr>
          </w:p>
        </w:tc>
        <w:tc>
          <w:tcPr>
            <w:tcW w:w="99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74.55</w:t>
            </w:r>
          </w:p>
        </w:tc>
        <w:tc>
          <w:tcPr>
            <w:tcW w:w="992"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highlight w:val="none"/>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highlight w:val="none"/>
              </w:rPr>
            </w:pPr>
          </w:p>
        </w:tc>
      </w:tr>
      <w:tr>
        <w:tblPrEx>
          <w:tblCellMar>
            <w:top w:w="0" w:type="dxa"/>
            <w:left w:w="108" w:type="dxa"/>
            <w:bottom w:w="0" w:type="dxa"/>
            <w:right w:w="108" w:type="dxa"/>
          </w:tblCellMar>
        </w:tblPrEx>
        <w:trPr>
          <w:trHeight w:val="285" w:hRule="atLeast"/>
        </w:trPr>
        <w:tc>
          <w:tcPr>
            <w:tcW w:w="72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土豆</w:t>
            </w:r>
          </w:p>
        </w:tc>
        <w:tc>
          <w:tcPr>
            <w:tcW w:w="10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19.38</w:t>
            </w:r>
          </w:p>
        </w:tc>
        <w:tc>
          <w:tcPr>
            <w:tcW w:w="81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19.52</w:t>
            </w:r>
          </w:p>
        </w:tc>
        <w:tc>
          <w:tcPr>
            <w:tcW w:w="70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0.31</w:t>
            </w:r>
          </w:p>
        </w:tc>
        <w:tc>
          <w:tcPr>
            <w:tcW w:w="125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75.79</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75.51</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1.66</w:t>
            </w:r>
          </w:p>
        </w:tc>
        <w:tc>
          <w:tcPr>
            <w:tcW w:w="99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95.17</w:t>
            </w:r>
          </w:p>
        </w:tc>
        <w:tc>
          <w:tcPr>
            <w:tcW w:w="992"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95.04</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highlight w:val="none"/>
              </w:rPr>
            </w:pPr>
            <w:r>
              <w:rPr>
                <w:rFonts w:hint="eastAsia" w:ascii="宋体" w:hAnsi="宋体" w:cs="宋体"/>
                <w:kern w:val="0"/>
                <w:szCs w:val="21"/>
                <w:highlight w:val="none"/>
              </w:rPr>
              <w:t>1.25</w:t>
            </w:r>
          </w:p>
        </w:tc>
      </w:tr>
      <w:tr>
        <w:tblPrEx>
          <w:tblCellMar>
            <w:top w:w="0" w:type="dxa"/>
            <w:left w:w="108" w:type="dxa"/>
            <w:bottom w:w="0" w:type="dxa"/>
            <w:right w:w="108" w:type="dxa"/>
          </w:tblCellMar>
        </w:tblPrEx>
        <w:trPr>
          <w:trHeight w:val="285" w:hRule="atLeast"/>
        </w:trPr>
        <w:tc>
          <w:tcPr>
            <w:tcW w:w="72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土豆</w:t>
            </w:r>
          </w:p>
        </w:tc>
        <w:tc>
          <w:tcPr>
            <w:tcW w:w="10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19.72</w:t>
            </w:r>
          </w:p>
        </w:tc>
        <w:tc>
          <w:tcPr>
            <w:tcW w:w="816"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70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125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76.72</w:t>
            </w:r>
          </w:p>
        </w:tc>
        <w:tc>
          <w:tcPr>
            <w:tcW w:w="851"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99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96.44</w:t>
            </w:r>
          </w:p>
        </w:tc>
        <w:tc>
          <w:tcPr>
            <w:tcW w:w="992"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r>
      <w:tr>
        <w:tblPrEx>
          <w:tblCellMar>
            <w:top w:w="0" w:type="dxa"/>
            <w:left w:w="108" w:type="dxa"/>
            <w:bottom w:w="0" w:type="dxa"/>
            <w:right w:w="108" w:type="dxa"/>
          </w:tblCellMar>
        </w:tblPrEx>
        <w:trPr>
          <w:trHeight w:val="285" w:hRule="atLeast"/>
        </w:trPr>
        <w:tc>
          <w:tcPr>
            <w:tcW w:w="72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土豆</w:t>
            </w:r>
          </w:p>
        </w:tc>
        <w:tc>
          <w:tcPr>
            <w:tcW w:w="10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19.47</w:t>
            </w:r>
          </w:p>
        </w:tc>
        <w:tc>
          <w:tcPr>
            <w:tcW w:w="816"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70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125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74.03</w:t>
            </w:r>
          </w:p>
        </w:tc>
        <w:tc>
          <w:tcPr>
            <w:tcW w:w="851"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99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93.5</w:t>
            </w:r>
          </w:p>
        </w:tc>
        <w:tc>
          <w:tcPr>
            <w:tcW w:w="992"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r>
    </w:tbl>
    <w:p>
      <w:pPr>
        <w:pStyle w:val="14"/>
        <w:adjustRightInd w:val="0"/>
        <w:snapToGrid w:val="0"/>
        <w:spacing w:beforeLines="50" w:line="360" w:lineRule="auto"/>
        <w:ind w:firstLine="0" w:firstLineChars="0"/>
        <w:jc w:val="center"/>
        <w:rPr>
          <w:rFonts w:ascii="黑体" w:hAnsi="黑体" w:eastAsia="黑体" w:cs="黑体"/>
          <w:bCs/>
          <w:color w:val="000000" w:themeColor="text1"/>
          <w:sz w:val="28"/>
          <w:szCs w:val="32"/>
          <w:lang w:val="zh-CN"/>
        </w:rPr>
      </w:pPr>
    </w:p>
    <w:p>
      <w:pPr>
        <w:pStyle w:val="14"/>
        <w:adjustRightInd w:val="0"/>
        <w:snapToGrid w:val="0"/>
        <w:spacing w:beforeLines="50" w:line="360" w:lineRule="auto"/>
        <w:ind w:firstLine="0" w:firstLineChars="0"/>
        <w:jc w:val="center"/>
        <w:rPr>
          <w:rFonts w:ascii="黑体" w:hAnsi="黑体" w:eastAsia="黑体" w:cs="黑体"/>
          <w:bCs/>
          <w:color w:val="000000" w:themeColor="text1"/>
          <w:sz w:val="28"/>
          <w:szCs w:val="32"/>
          <w:lang w:val="zh-CN"/>
        </w:rPr>
      </w:pPr>
    </w:p>
    <w:p>
      <w:pPr>
        <w:pStyle w:val="14"/>
        <w:numPr>
          <w:ilvl w:val="0"/>
          <w:numId w:val="5"/>
        </w:numPr>
        <w:adjustRightInd w:val="0"/>
        <w:snapToGrid w:val="0"/>
        <w:spacing w:beforeLines="50" w:line="360" w:lineRule="auto"/>
        <w:ind w:left="0" w:firstLine="0" w:firstLineChars="0"/>
        <w:outlineLvl w:val="1"/>
        <w:rPr>
          <w:rFonts w:ascii="黑体" w:hAnsi="黑体" w:eastAsia="黑体" w:cs="黑体"/>
          <w:bCs/>
          <w:color w:val="000000" w:themeColor="text1"/>
          <w:sz w:val="32"/>
          <w:szCs w:val="32"/>
          <w:lang w:val="zh-CN"/>
        </w:rPr>
      </w:pPr>
      <w:r>
        <w:rPr>
          <w:rFonts w:hint="eastAsia" w:ascii="黑体" w:hAnsi="黑体" w:eastAsia="黑体" w:cs="黑体"/>
          <w:bCs/>
          <w:color w:val="000000" w:themeColor="text1"/>
          <w:sz w:val="32"/>
          <w:szCs w:val="32"/>
          <w:lang w:val="zh-CN"/>
        </w:rPr>
        <w:t>实验回收率</w:t>
      </w:r>
    </w:p>
    <w:p>
      <w:pPr>
        <w:ind w:firstLine="560" w:firstLineChars="200"/>
        <w:rPr>
          <w:rFonts w:ascii="仿宋_GB2312" w:eastAsia="仿宋_GB2312"/>
          <w:color w:val="000000" w:themeColor="text1"/>
          <w:sz w:val="28"/>
          <w:szCs w:val="28"/>
        </w:rPr>
      </w:pPr>
      <w:r>
        <w:rPr>
          <w:rFonts w:hint="eastAsia" w:ascii="仿宋_GB2312" w:hAnsi="宋体" w:eastAsia="仿宋_GB2312"/>
          <w:color w:val="000000" w:themeColor="text1"/>
          <w:sz w:val="28"/>
          <w:szCs w:val="28"/>
        </w:rPr>
        <w:t>称取约</w:t>
      </w:r>
      <w:r>
        <w:rPr>
          <w:rFonts w:hint="eastAsia" w:ascii="仿宋_GB2312" w:eastAsia="仿宋_GB2312"/>
          <w:color w:val="000000" w:themeColor="text1"/>
          <w:sz w:val="28"/>
          <w:szCs w:val="28"/>
        </w:rPr>
        <w:t>0.05g</w:t>
      </w:r>
      <w:r>
        <w:rPr>
          <w:rFonts w:hint="eastAsia" w:ascii="仿宋_GB2312" w:hAnsi="宋体" w:eastAsia="仿宋_GB2312"/>
          <w:color w:val="000000" w:themeColor="text1"/>
          <w:sz w:val="28"/>
          <w:szCs w:val="28"/>
        </w:rPr>
        <w:t>样品，加入</w:t>
      </w:r>
      <w:r>
        <w:rPr>
          <w:rFonts w:hint="eastAsia" w:ascii="仿宋_GB2312" w:eastAsia="仿宋_GB2312"/>
          <w:color w:val="000000" w:themeColor="text1"/>
          <w:sz w:val="28"/>
          <w:szCs w:val="28"/>
        </w:rPr>
        <w:t>0.5mL</w:t>
      </w:r>
      <w:r>
        <w:rPr>
          <w:rFonts w:hint="eastAsia" w:ascii="仿宋_GB2312" w:hAnsi="宋体" w:eastAsia="仿宋_GB2312"/>
          <w:color w:val="000000" w:themeColor="text1"/>
          <w:sz w:val="28"/>
          <w:szCs w:val="28"/>
        </w:rPr>
        <w:t>乙醇分散，加入</w:t>
      </w:r>
      <w:r>
        <w:rPr>
          <w:rFonts w:hint="eastAsia" w:ascii="仿宋_GB2312" w:eastAsia="仿宋_GB2312"/>
          <w:color w:val="000000" w:themeColor="text1"/>
          <w:sz w:val="28"/>
          <w:szCs w:val="28"/>
        </w:rPr>
        <w:t>4.5mL1mol/L</w:t>
      </w:r>
      <w:r>
        <w:rPr>
          <w:rFonts w:hint="eastAsia" w:ascii="仿宋_GB2312" w:hAnsi="宋体" w:eastAsia="仿宋_GB2312"/>
          <w:color w:val="000000" w:themeColor="text1"/>
          <w:sz w:val="28"/>
          <w:szCs w:val="28"/>
        </w:rPr>
        <w:t>氢氧化钾溶液，在沸水浴中</w:t>
      </w:r>
      <w:r>
        <w:rPr>
          <w:rFonts w:hint="eastAsia" w:ascii="仿宋_GB2312" w:eastAsia="仿宋_GB2312"/>
          <w:color w:val="000000" w:themeColor="text1"/>
          <w:sz w:val="28"/>
          <w:szCs w:val="28"/>
        </w:rPr>
        <w:t>10</w:t>
      </w:r>
      <w:r>
        <w:rPr>
          <w:rFonts w:hint="eastAsia" w:ascii="仿宋_GB2312" w:hAnsi="宋体" w:eastAsia="仿宋_GB2312"/>
          <w:color w:val="000000" w:themeColor="text1"/>
          <w:sz w:val="28"/>
          <w:szCs w:val="28"/>
        </w:rPr>
        <w:t>分钟，迅速拿出冷却定容到</w:t>
      </w:r>
      <w:r>
        <w:rPr>
          <w:rFonts w:hint="eastAsia" w:ascii="仿宋_GB2312" w:eastAsia="仿宋_GB2312"/>
          <w:color w:val="000000" w:themeColor="text1"/>
          <w:sz w:val="28"/>
          <w:szCs w:val="28"/>
        </w:rPr>
        <w:t>50mL</w:t>
      </w:r>
      <w:r>
        <w:rPr>
          <w:rFonts w:hint="eastAsia" w:ascii="仿宋_GB2312" w:hAnsi="宋体" w:eastAsia="仿宋_GB2312"/>
          <w:color w:val="000000" w:themeColor="text1"/>
          <w:sz w:val="28"/>
          <w:szCs w:val="28"/>
        </w:rPr>
        <w:t>，取各样品溶液</w:t>
      </w:r>
      <w:r>
        <w:rPr>
          <w:rFonts w:hint="eastAsia" w:ascii="仿宋_GB2312" w:eastAsia="仿宋_GB2312"/>
          <w:color w:val="000000" w:themeColor="text1"/>
          <w:sz w:val="28"/>
          <w:szCs w:val="28"/>
        </w:rPr>
        <w:t>7</w:t>
      </w:r>
      <w:r>
        <w:rPr>
          <w:rFonts w:hint="eastAsia" w:ascii="仿宋_GB2312" w:hAnsi="宋体" w:eastAsia="仿宋_GB2312"/>
          <w:color w:val="000000" w:themeColor="text1"/>
          <w:sz w:val="28"/>
          <w:szCs w:val="28"/>
        </w:rPr>
        <w:t>份</w:t>
      </w:r>
      <w:r>
        <w:rPr>
          <w:rFonts w:hint="eastAsia" w:ascii="仿宋_GB2312" w:eastAsia="仿宋_GB2312"/>
          <w:color w:val="000000" w:themeColor="text1"/>
          <w:sz w:val="28"/>
          <w:szCs w:val="28"/>
        </w:rPr>
        <w:t>2.5mL</w:t>
      </w:r>
      <w:r>
        <w:rPr>
          <w:rFonts w:hint="eastAsia" w:ascii="仿宋_GB2312" w:hAnsi="宋体" w:eastAsia="仿宋_GB2312"/>
          <w:color w:val="000000" w:themeColor="text1"/>
          <w:sz w:val="28"/>
          <w:szCs w:val="28"/>
        </w:rPr>
        <w:t>入</w:t>
      </w:r>
      <w:r>
        <w:rPr>
          <w:rFonts w:hint="eastAsia" w:ascii="仿宋_GB2312" w:eastAsia="仿宋_GB2312"/>
          <w:color w:val="000000" w:themeColor="text1"/>
          <w:sz w:val="28"/>
          <w:szCs w:val="28"/>
        </w:rPr>
        <w:t>50mL</w:t>
      </w:r>
      <w:r>
        <w:rPr>
          <w:rFonts w:hint="eastAsia" w:ascii="仿宋_GB2312" w:hAnsi="宋体" w:eastAsia="仿宋_GB2312"/>
          <w:color w:val="000000" w:themeColor="text1"/>
          <w:sz w:val="28"/>
          <w:szCs w:val="28"/>
        </w:rPr>
        <w:t>容量瓶中，加入</w:t>
      </w:r>
      <w:r>
        <w:rPr>
          <w:rFonts w:hint="eastAsia" w:ascii="仿宋_GB2312" w:eastAsia="仿宋_GB2312"/>
          <w:color w:val="000000" w:themeColor="text1"/>
          <w:sz w:val="28"/>
          <w:szCs w:val="28"/>
        </w:rPr>
        <w:t>30mL</w:t>
      </w:r>
      <w:r>
        <w:rPr>
          <w:rFonts w:hint="eastAsia" w:ascii="仿宋_GB2312" w:hAnsi="宋体" w:eastAsia="仿宋_GB2312"/>
          <w:color w:val="000000" w:themeColor="text1"/>
          <w:sz w:val="28"/>
          <w:szCs w:val="28"/>
        </w:rPr>
        <w:t>水一份不加标准溶液，其中三份分别加入</w:t>
      </w:r>
      <w:r>
        <w:rPr>
          <w:rFonts w:hint="eastAsia" w:ascii="仿宋_GB2312" w:eastAsia="仿宋_GB2312"/>
          <w:color w:val="000000" w:themeColor="text1"/>
          <w:sz w:val="28"/>
          <w:szCs w:val="28"/>
        </w:rPr>
        <w:t>0.25mL,0.5mL,0.75mL</w:t>
      </w:r>
      <w:r>
        <w:rPr>
          <w:rFonts w:hint="eastAsia" w:ascii="仿宋_GB2312" w:hAnsi="宋体" w:eastAsia="仿宋_GB2312"/>
          <w:color w:val="000000" w:themeColor="text1"/>
          <w:sz w:val="28"/>
          <w:szCs w:val="28"/>
        </w:rPr>
        <w:t>直链淀粉标准溶液（</w:t>
      </w:r>
      <w:r>
        <w:rPr>
          <w:rFonts w:hint="eastAsia" w:ascii="仿宋_GB2312" w:eastAsia="仿宋_GB2312"/>
          <w:color w:val="000000" w:themeColor="text1"/>
          <w:sz w:val="28"/>
          <w:szCs w:val="28"/>
        </w:rPr>
        <w:t>1mg/mL</w:t>
      </w:r>
      <w:r>
        <w:rPr>
          <w:rFonts w:hint="eastAsia" w:ascii="仿宋_GB2312" w:hAnsi="宋体" w:eastAsia="仿宋_GB2312"/>
          <w:color w:val="000000" w:themeColor="text1"/>
          <w:sz w:val="28"/>
          <w:szCs w:val="28"/>
        </w:rPr>
        <w:t>）添加浓度分别为：</w:t>
      </w:r>
      <w:r>
        <w:rPr>
          <w:rFonts w:hint="eastAsia" w:ascii="仿宋_GB2312" w:eastAsia="仿宋_GB2312"/>
          <w:color w:val="000000" w:themeColor="text1"/>
          <w:sz w:val="28"/>
          <w:szCs w:val="28"/>
        </w:rPr>
        <w:t>5mg/L</w:t>
      </w:r>
      <w:r>
        <w:rPr>
          <w:rFonts w:hint="eastAsia" w:ascii="仿宋_GB2312" w:hAnsi="宋体" w:eastAsia="仿宋_GB2312"/>
          <w:color w:val="000000" w:themeColor="text1"/>
          <w:sz w:val="28"/>
          <w:szCs w:val="28"/>
        </w:rPr>
        <w:t>、</w:t>
      </w:r>
      <w:r>
        <w:rPr>
          <w:rFonts w:hint="eastAsia" w:ascii="仿宋_GB2312" w:eastAsia="仿宋_GB2312"/>
          <w:color w:val="000000" w:themeColor="text1"/>
          <w:sz w:val="28"/>
          <w:szCs w:val="28"/>
        </w:rPr>
        <w:t>10mg/L</w:t>
      </w:r>
      <w:r>
        <w:rPr>
          <w:rFonts w:hint="eastAsia" w:ascii="仿宋_GB2312" w:hAnsi="宋体" w:eastAsia="仿宋_GB2312"/>
          <w:color w:val="000000" w:themeColor="text1"/>
          <w:sz w:val="28"/>
          <w:szCs w:val="28"/>
        </w:rPr>
        <w:t>、</w:t>
      </w:r>
      <w:r>
        <w:rPr>
          <w:rFonts w:hint="eastAsia" w:ascii="仿宋_GB2312" w:eastAsia="仿宋_GB2312"/>
          <w:color w:val="000000" w:themeColor="text1"/>
          <w:sz w:val="28"/>
          <w:szCs w:val="28"/>
        </w:rPr>
        <w:t>15mg/L</w:t>
      </w:r>
      <w:r>
        <w:rPr>
          <w:rFonts w:hint="eastAsia" w:ascii="仿宋_GB2312" w:hAnsi="宋体" w:eastAsia="仿宋_GB2312"/>
          <w:color w:val="000000" w:themeColor="text1"/>
          <w:sz w:val="28"/>
          <w:szCs w:val="28"/>
        </w:rPr>
        <w:t>；剩余三份分别加入</w:t>
      </w:r>
      <w:r>
        <w:rPr>
          <w:rFonts w:hint="eastAsia" w:ascii="仿宋_GB2312" w:eastAsia="仿宋_GB2312"/>
          <w:color w:val="000000" w:themeColor="text1"/>
          <w:sz w:val="28"/>
          <w:szCs w:val="28"/>
        </w:rPr>
        <w:t>0.5mL,1mL,2mL</w:t>
      </w:r>
      <w:r>
        <w:rPr>
          <w:rFonts w:hint="eastAsia" w:ascii="仿宋_GB2312" w:hAnsi="宋体" w:eastAsia="仿宋_GB2312"/>
          <w:color w:val="000000" w:themeColor="text1"/>
          <w:sz w:val="28"/>
          <w:szCs w:val="28"/>
        </w:rPr>
        <w:t>支链淀粉标准溶液（</w:t>
      </w:r>
      <w:r>
        <w:rPr>
          <w:rFonts w:hint="eastAsia" w:ascii="仿宋_GB2312" w:eastAsia="仿宋_GB2312"/>
          <w:color w:val="000000" w:themeColor="text1"/>
          <w:sz w:val="28"/>
          <w:szCs w:val="28"/>
        </w:rPr>
        <w:t>1mg/mL</w:t>
      </w:r>
      <w:r>
        <w:rPr>
          <w:rFonts w:hint="eastAsia" w:ascii="仿宋_GB2312" w:hAnsi="宋体" w:eastAsia="仿宋_GB2312"/>
          <w:color w:val="000000" w:themeColor="text1"/>
          <w:sz w:val="28"/>
          <w:szCs w:val="28"/>
        </w:rPr>
        <w:t>）</w:t>
      </w:r>
      <w:r>
        <w:rPr>
          <w:rFonts w:hint="eastAsia" w:ascii="仿宋_GB2312" w:eastAsia="仿宋_GB2312"/>
          <w:color w:val="000000" w:themeColor="text1"/>
          <w:sz w:val="28"/>
          <w:szCs w:val="28"/>
        </w:rPr>
        <w:t>,</w:t>
      </w:r>
      <w:r>
        <w:rPr>
          <w:rFonts w:hint="eastAsia" w:ascii="仿宋_GB2312" w:hAnsi="宋体" w:eastAsia="仿宋_GB2312"/>
          <w:color w:val="000000" w:themeColor="text1"/>
          <w:sz w:val="28"/>
          <w:szCs w:val="28"/>
        </w:rPr>
        <w:t>添加浓度分别为</w:t>
      </w:r>
      <w:r>
        <w:rPr>
          <w:rFonts w:hint="eastAsia" w:ascii="仿宋_GB2312" w:eastAsia="仿宋_GB2312"/>
          <w:color w:val="000000" w:themeColor="text1"/>
          <w:sz w:val="28"/>
          <w:szCs w:val="28"/>
        </w:rPr>
        <w:t>10mg/L</w:t>
      </w:r>
      <w:r>
        <w:rPr>
          <w:rFonts w:hint="eastAsia" w:ascii="仿宋_GB2312" w:hAnsi="宋体" w:eastAsia="仿宋_GB2312"/>
          <w:color w:val="000000" w:themeColor="text1"/>
          <w:sz w:val="28"/>
          <w:szCs w:val="28"/>
        </w:rPr>
        <w:t>、</w:t>
      </w:r>
      <w:r>
        <w:rPr>
          <w:rFonts w:hint="eastAsia" w:ascii="仿宋_GB2312" w:eastAsia="仿宋_GB2312"/>
          <w:color w:val="000000" w:themeColor="text1"/>
          <w:sz w:val="28"/>
          <w:szCs w:val="28"/>
        </w:rPr>
        <w:t>20mg/L</w:t>
      </w:r>
      <w:r>
        <w:rPr>
          <w:rFonts w:hint="eastAsia" w:ascii="仿宋_GB2312" w:hAnsi="宋体" w:eastAsia="仿宋_GB2312"/>
          <w:color w:val="000000" w:themeColor="text1"/>
          <w:sz w:val="28"/>
          <w:szCs w:val="28"/>
        </w:rPr>
        <w:t>、</w:t>
      </w:r>
      <w:r>
        <w:rPr>
          <w:rFonts w:hint="eastAsia" w:ascii="仿宋_GB2312" w:eastAsia="仿宋_GB2312"/>
          <w:color w:val="000000" w:themeColor="text1"/>
          <w:sz w:val="28"/>
          <w:szCs w:val="28"/>
        </w:rPr>
        <w:t>40mg/L</w:t>
      </w:r>
      <w:r>
        <w:rPr>
          <w:rFonts w:hint="eastAsia" w:ascii="仿宋_GB2312" w:hAnsi="宋体" w:eastAsia="仿宋_GB2312"/>
          <w:color w:val="000000" w:themeColor="text1"/>
          <w:sz w:val="28"/>
          <w:szCs w:val="28"/>
        </w:rPr>
        <w:t>。分别加入</w:t>
      </w:r>
      <w:r>
        <w:rPr>
          <w:rFonts w:hint="eastAsia" w:ascii="仿宋_GB2312" w:eastAsia="仿宋_GB2312"/>
          <w:color w:val="000000" w:themeColor="text1"/>
          <w:sz w:val="28"/>
          <w:szCs w:val="28"/>
        </w:rPr>
        <w:t>0.09mol/L</w:t>
      </w:r>
      <w:r>
        <w:rPr>
          <w:rFonts w:hint="eastAsia" w:ascii="仿宋_GB2312" w:hAnsi="宋体" w:eastAsia="仿宋_GB2312"/>
          <w:color w:val="000000" w:themeColor="text1"/>
          <w:sz w:val="28"/>
          <w:szCs w:val="28"/>
        </w:rPr>
        <w:t>氢氧化钾溶液</w:t>
      </w:r>
      <w:r>
        <w:rPr>
          <w:rFonts w:hint="eastAsia" w:ascii="仿宋_GB2312" w:eastAsia="仿宋_GB2312"/>
          <w:color w:val="000000" w:themeColor="text1"/>
          <w:sz w:val="28"/>
          <w:szCs w:val="28"/>
        </w:rPr>
        <w:t>2.5mL</w:t>
      </w:r>
      <w:r>
        <w:rPr>
          <w:rFonts w:hint="eastAsia" w:ascii="仿宋_GB2312" w:hAnsi="宋体" w:eastAsia="仿宋_GB2312"/>
          <w:color w:val="000000" w:themeColor="text1"/>
          <w:sz w:val="28"/>
          <w:szCs w:val="28"/>
        </w:rPr>
        <w:t>、</w:t>
      </w:r>
      <w:r>
        <w:rPr>
          <w:rFonts w:hint="eastAsia" w:ascii="仿宋_GB2312" w:eastAsia="仿宋_GB2312"/>
          <w:color w:val="000000" w:themeColor="text1"/>
          <w:sz w:val="28"/>
          <w:szCs w:val="28"/>
        </w:rPr>
        <w:t>2.25mL</w:t>
      </w:r>
      <w:r>
        <w:rPr>
          <w:rFonts w:hint="eastAsia" w:ascii="仿宋_GB2312" w:hAnsi="宋体" w:eastAsia="仿宋_GB2312"/>
          <w:color w:val="000000" w:themeColor="text1"/>
          <w:sz w:val="28"/>
          <w:szCs w:val="28"/>
        </w:rPr>
        <w:t>、</w:t>
      </w:r>
      <w:r>
        <w:rPr>
          <w:rFonts w:hint="eastAsia" w:ascii="仿宋_GB2312" w:eastAsia="仿宋_GB2312"/>
          <w:color w:val="000000" w:themeColor="text1"/>
          <w:sz w:val="28"/>
          <w:szCs w:val="28"/>
        </w:rPr>
        <w:t>2mL</w:t>
      </w:r>
      <w:r>
        <w:rPr>
          <w:rFonts w:hint="eastAsia" w:ascii="仿宋_GB2312" w:hAnsi="宋体" w:eastAsia="仿宋_GB2312"/>
          <w:color w:val="000000" w:themeColor="text1"/>
          <w:sz w:val="28"/>
          <w:szCs w:val="28"/>
        </w:rPr>
        <w:t>、</w:t>
      </w:r>
      <w:r>
        <w:rPr>
          <w:rFonts w:hint="eastAsia" w:ascii="仿宋_GB2312" w:eastAsia="仿宋_GB2312"/>
          <w:color w:val="000000" w:themeColor="text1"/>
          <w:sz w:val="28"/>
          <w:szCs w:val="28"/>
        </w:rPr>
        <w:t>1.75mL</w:t>
      </w:r>
      <w:r>
        <w:rPr>
          <w:rFonts w:hint="eastAsia" w:ascii="仿宋_GB2312" w:hAnsi="宋体" w:eastAsia="仿宋_GB2312"/>
          <w:color w:val="000000" w:themeColor="text1"/>
          <w:sz w:val="28"/>
          <w:szCs w:val="28"/>
        </w:rPr>
        <w:t>、</w:t>
      </w:r>
      <w:r>
        <w:rPr>
          <w:rFonts w:hint="eastAsia" w:ascii="仿宋_GB2312" w:eastAsia="仿宋_GB2312"/>
          <w:color w:val="000000" w:themeColor="text1"/>
          <w:sz w:val="28"/>
          <w:szCs w:val="28"/>
        </w:rPr>
        <w:t>2mL</w:t>
      </w:r>
      <w:r>
        <w:rPr>
          <w:rFonts w:hint="eastAsia" w:ascii="仿宋_GB2312" w:hAnsi="宋体" w:eastAsia="仿宋_GB2312"/>
          <w:color w:val="000000" w:themeColor="text1"/>
          <w:sz w:val="28"/>
          <w:szCs w:val="28"/>
        </w:rPr>
        <w:t>、</w:t>
      </w:r>
      <w:r>
        <w:rPr>
          <w:rFonts w:hint="eastAsia" w:ascii="仿宋_GB2312" w:eastAsia="仿宋_GB2312"/>
          <w:color w:val="000000" w:themeColor="text1"/>
          <w:sz w:val="28"/>
          <w:szCs w:val="28"/>
        </w:rPr>
        <w:t>1.5mL</w:t>
      </w:r>
      <w:r>
        <w:rPr>
          <w:rFonts w:hint="eastAsia" w:ascii="仿宋_GB2312" w:hAnsi="宋体" w:eastAsia="仿宋_GB2312"/>
          <w:color w:val="000000" w:themeColor="text1"/>
          <w:sz w:val="28"/>
          <w:szCs w:val="28"/>
        </w:rPr>
        <w:t>、</w:t>
      </w:r>
      <w:r>
        <w:rPr>
          <w:rFonts w:hint="eastAsia" w:ascii="仿宋_GB2312" w:eastAsia="仿宋_GB2312"/>
          <w:color w:val="000000" w:themeColor="text1"/>
          <w:sz w:val="28"/>
          <w:szCs w:val="28"/>
        </w:rPr>
        <w:t>0.5mL</w:t>
      </w:r>
      <w:r>
        <w:rPr>
          <w:rFonts w:hint="eastAsia" w:ascii="仿宋_GB2312" w:hAnsi="宋体" w:eastAsia="仿宋_GB2312"/>
          <w:color w:val="000000" w:themeColor="text1"/>
          <w:sz w:val="28"/>
          <w:szCs w:val="28"/>
        </w:rPr>
        <w:t>按实验方法进行处理，在同样的条件下对不同样品进行回收率实验（表</w:t>
      </w:r>
      <w:r>
        <w:rPr>
          <w:rFonts w:hint="eastAsia" w:ascii="仿宋_GB2312" w:eastAsia="仿宋_GB2312"/>
          <w:color w:val="000000" w:themeColor="text1"/>
          <w:sz w:val="28"/>
          <w:szCs w:val="28"/>
        </w:rPr>
        <w:t>9</w:t>
      </w:r>
      <w:r>
        <w:rPr>
          <w:rFonts w:hint="eastAsia" w:ascii="仿宋_GB2312" w:hAnsi="宋体" w:eastAsia="仿宋_GB2312"/>
          <w:color w:val="000000" w:themeColor="text1"/>
          <w:sz w:val="28"/>
          <w:szCs w:val="28"/>
        </w:rPr>
        <w:t>，表</w:t>
      </w:r>
      <w:r>
        <w:rPr>
          <w:rFonts w:hint="eastAsia" w:ascii="仿宋_GB2312" w:eastAsia="仿宋_GB2312"/>
          <w:color w:val="000000" w:themeColor="text1"/>
          <w:sz w:val="28"/>
          <w:szCs w:val="28"/>
        </w:rPr>
        <w:t>10</w:t>
      </w:r>
      <w:r>
        <w:rPr>
          <w:rFonts w:hint="eastAsia" w:ascii="仿宋_GB2312" w:hAnsi="宋体" w:eastAsia="仿宋_GB2312"/>
          <w:color w:val="000000" w:themeColor="text1"/>
          <w:sz w:val="28"/>
          <w:szCs w:val="28"/>
        </w:rPr>
        <w:t>），在不同薯类样品的支链淀粉标准溶液添加回收率分别为表</w:t>
      </w:r>
      <w:r>
        <w:rPr>
          <w:rFonts w:hint="eastAsia" w:ascii="仿宋_GB2312" w:eastAsia="仿宋_GB2312"/>
          <w:color w:val="000000" w:themeColor="text1"/>
          <w:sz w:val="28"/>
          <w:szCs w:val="28"/>
        </w:rPr>
        <w:t>9</w:t>
      </w:r>
      <w:r>
        <w:rPr>
          <w:rFonts w:hint="eastAsia" w:ascii="仿宋_GB2312" w:hAnsi="宋体" w:eastAsia="仿宋_GB2312"/>
          <w:color w:val="000000" w:themeColor="text1"/>
          <w:sz w:val="28"/>
          <w:szCs w:val="28"/>
        </w:rPr>
        <w:t>、表</w:t>
      </w:r>
      <w:r>
        <w:rPr>
          <w:rFonts w:hint="eastAsia" w:ascii="仿宋_GB2312" w:eastAsia="仿宋_GB2312"/>
          <w:color w:val="000000" w:themeColor="text1"/>
          <w:sz w:val="28"/>
          <w:szCs w:val="28"/>
        </w:rPr>
        <w:t>10</w:t>
      </w:r>
      <w:r>
        <w:rPr>
          <w:rFonts w:hint="eastAsia" w:ascii="仿宋_GB2312" w:hAnsi="宋体" w:eastAsia="仿宋_GB2312"/>
          <w:color w:val="000000" w:themeColor="text1"/>
          <w:sz w:val="28"/>
          <w:szCs w:val="28"/>
        </w:rPr>
        <w:t>，支链淀粉回收率</w:t>
      </w:r>
      <w:r>
        <w:rPr>
          <w:rFonts w:hint="eastAsia" w:ascii="仿宋_GB2312" w:eastAsia="仿宋_GB2312"/>
          <w:color w:val="000000" w:themeColor="text1"/>
          <w:sz w:val="28"/>
          <w:szCs w:val="28"/>
        </w:rPr>
        <w:t>87.78%-107.57%</w:t>
      </w:r>
      <w:r>
        <w:rPr>
          <w:rFonts w:hint="eastAsia" w:ascii="仿宋_GB2312" w:hAnsi="宋体" w:eastAsia="仿宋_GB2312"/>
          <w:color w:val="000000" w:themeColor="text1"/>
          <w:sz w:val="28"/>
          <w:szCs w:val="28"/>
        </w:rPr>
        <w:t>，直链淀粉回收率</w:t>
      </w:r>
      <w:r>
        <w:rPr>
          <w:rFonts w:hint="eastAsia" w:ascii="仿宋_GB2312" w:hAnsi="宋体" w:eastAsia="仿宋_GB2312"/>
          <w:color w:val="000000" w:themeColor="text1"/>
          <w:sz w:val="28"/>
          <w:szCs w:val="28"/>
          <w:lang w:eastAsia="zh-CN"/>
        </w:rPr>
        <w:t>为</w:t>
      </w:r>
      <w:r>
        <w:rPr>
          <w:rFonts w:hint="eastAsia" w:ascii="仿宋_GB2312" w:eastAsia="仿宋_GB2312"/>
          <w:color w:val="000000" w:themeColor="text1"/>
          <w:sz w:val="28"/>
          <w:szCs w:val="28"/>
        </w:rPr>
        <w:t>90.00%-100.00%</w:t>
      </w:r>
      <w:r>
        <w:rPr>
          <w:rFonts w:hint="eastAsia" w:ascii="仿宋_GB2312" w:hAnsi="宋体" w:eastAsia="仿宋_GB2312"/>
          <w:color w:val="000000" w:themeColor="text1"/>
          <w:sz w:val="28"/>
          <w:szCs w:val="28"/>
        </w:rPr>
        <w:t>。</w:t>
      </w:r>
    </w:p>
    <w:p>
      <w:pPr>
        <w:autoSpaceDE w:val="0"/>
        <w:autoSpaceDN w:val="0"/>
        <w:spacing w:line="360" w:lineRule="auto"/>
        <w:ind w:firstLine="405"/>
        <w:jc w:val="center"/>
        <w:rPr>
          <w:rFonts w:ascii="仿宋_GB2312" w:eastAsia="仿宋_GB2312"/>
          <w:color w:val="000000" w:themeColor="text1"/>
          <w:sz w:val="28"/>
          <w:szCs w:val="28"/>
        </w:rPr>
      </w:pPr>
      <w:r>
        <w:rPr>
          <w:rFonts w:hint="eastAsia" w:ascii="仿宋_GB2312" w:hAnsi="宋体" w:eastAsia="仿宋_GB2312"/>
          <w:color w:val="000000" w:themeColor="text1"/>
          <w:sz w:val="28"/>
          <w:szCs w:val="28"/>
        </w:rPr>
        <w:t>表</w:t>
      </w:r>
      <w:r>
        <w:rPr>
          <w:rFonts w:hint="eastAsia" w:ascii="仿宋_GB2312" w:eastAsia="仿宋_GB2312"/>
          <w:color w:val="000000" w:themeColor="text1"/>
          <w:sz w:val="28"/>
          <w:szCs w:val="28"/>
        </w:rPr>
        <w:t xml:space="preserve">9 </w:t>
      </w:r>
      <w:r>
        <w:rPr>
          <w:rFonts w:hint="eastAsia" w:ascii="仿宋_GB2312" w:hAnsi="宋体" w:eastAsia="仿宋_GB2312"/>
          <w:color w:val="000000" w:themeColor="text1"/>
          <w:sz w:val="28"/>
          <w:szCs w:val="28"/>
        </w:rPr>
        <w:t>支链淀粉回收率</w:t>
      </w:r>
    </w:p>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70"/>
        <w:gridCol w:w="1702"/>
        <w:gridCol w:w="1417"/>
        <w:gridCol w:w="1276"/>
        <w:gridCol w:w="15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814" w:type="pct"/>
            <w:shd w:val="clear" w:color="auto" w:fill="auto"/>
            <w:noWrap/>
            <w:vAlign w:val="center"/>
          </w:tcPr>
          <w:p>
            <w:pPr>
              <w:jc w:val="center"/>
              <w:rPr>
                <w:color w:val="000000" w:themeColor="text1"/>
                <w:sz w:val="24"/>
              </w:rPr>
            </w:pPr>
            <w:r>
              <w:rPr>
                <w:rFonts w:hAnsi="宋体"/>
                <w:color w:val="000000" w:themeColor="text1"/>
                <w:sz w:val="24"/>
              </w:rPr>
              <w:t>样品名称</w:t>
            </w:r>
          </w:p>
        </w:tc>
        <w:tc>
          <w:tcPr>
            <w:tcW w:w="916" w:type="pct"/>
            <w:shd w:val="clear" w:color="auto" w:fill="auto"/>
            <w:noWrap/>
            <w:vAlign w:val="center"/>
          </w:tcPr>
          <w:p>
            <w:pPr>
              <w:jc w:val="center"/>
              <w:rPr>
                <w:color w:val="000000" w:themeColor="text1"/>
                <w:sz w:val="24"/>
              </w:rPr>
            </w:pPr>
            <w:r>
              <w:rPr>
                <w:rFonts w:hAnsi="宋体"/>
                <w:color w:val="000000" w:themeColor="text1"/>
                <w:sz w:val="24"/>
              </w:rPr>
              <w:t>添加后测得浓度</w:t>
            </w:r>
            <w:r>
              <w:rPr>
                <w:color w:val="000000" w:themeColor="text1"/>
                <w:sz w:val="24"/>
              </w:rPr>
              <w:t>(mg/L)</w:t>
            </w:r>
          </w:p>
        </w:tc>
        <w:tc>
          <w:tcPr>
            <w:tcW w:w="763" w:type="pct"/>
            <w:shd w:val="clear" w:color="auto" w:fill="auto"/>
            <w:noWrap/>
            <w:vAlign w:val="center"/>
          </w:tcPr>
          <w:p>
            <w:pPr>
              <w:jc w:val="center"/>
              <w:rPr>
                <w:color w:val="000000" w:themeColor="text1"/>
                <w:sz w:val="24"/>
              </w:rPr>
            </w:pPr>
            <w:r>
              <w:rPr>
                <w:rFonts w:hAnsi="宋体"/>
                <w:color w:val="000000" w:themeColor="text1"/>
                <w:sz w:val="24"/>
              </w:rPr>
              <w:t>原溶液浓度</w:t>
            </w:r>
            <w:r>
              <w:rPr>
                <w:color w:val="000000" w:themeColor="text1"/>
                <w:sz w:val="24"/>
              </w:rPr>
              <w:t>(mg/L)</w:t>
            </w:r>
          </w:p>
        </w:tc>
        <w:tc>
          <w:tcPr>
            <w:tcW w:w="687" w:type="pct"/>
            <w:shd w:val="clear" w:color="auto" w:fill="auto"/>
            <w:noWrap/>
            <w:vAlign w:val="center"/>
          </w:tcPr>
          <w:p>
            <w:pPr>
              <w:jc w:val="center"/>
              <w:rPr>
                <w:color w:val="000000" w:themeColor="text1"/>
                <w:sz w:val="24"/>
              </w:rPr>
            </w:pPr>
            <w:r>
              <w:rPr>
                <w:rFonts w:hAnsi="宋体"/>
                <w:color w:val="000000" w:themeColor="text1"/>
                <w:sz w:val="24"/>
              </w:rPr>
              <w:t>添加浓度</w:t>
            </w:r>
            <w:r>
              <w:rPr>
                <w:color w:val="000000" w:themeColor="text1"/>
                <w:sz w:val="24"/>
              </w:rPr>
              <w:t>(mg/L)</w:t>
            </w:r>
          </w:p>
        </w:tc>
        <w:tc>
          <w:tcPr>
            <w:tcW w:w="821" w:type="pct"/>
            <w:shd w:val="clear" w:color="auto" w:fill="auto"/>
            <w:noWrap/>
            <w:vAlign w:val="center"/>
          </w:tcPr>
          <w:p>
            <w:pPr>
              <w:jc w:val="center"/>
              <w:rPr>
                <w:color w:val="000000" w:themeColor="text1"/>
                <w:sz w:val="24"/>
              </w:rPr>
            </w:pPr>
            <w:r>
              <w:rPr>
                <w:rFonts w:hAnsi="宋体"/>
                <w:color w:val="000000" w:themeColor="text1"/>
                <w:sz w:val="24"/>
              </w:rPr>
              <w:t>添加回收率（</w:t>
            </w:r>
            <w:r>
              <w:rPr>
                <w:color w:val="000000" w:themeColor="text1"/>
                <w:sz w:val="24"/>
              </w:rPr>
              <w:t>%</w:t>
            </w:r>
            <w:r>
              <w:rPr>
                <w:rFonts w:hAnsi="宋体"/>
                <w:color w:val="000000" w:themeColor="text1"/>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814" w:type="pct"/>
            <w:shd w:val="clear" w:color="auto" w:fill="auto"/>
            <w:noWrap/>
            <w:vAlign w:val="center"/>
          </w:tcPr>
          <w:p>
            <w:pPr>
              <w:jc w:val="center"/>
              <w:rPr>
                <w:color w:val="000000" w:themeColor="text1"/>
                <w:sz w:val="24"/>
              </w:rPr>
            </w:pPr>
            <w:r>
              <w:rPr>
                <w:rFonts w:hAnsi="宋体"/>
                <w:color w:val="000000" w:themeColor="text1"/>
                <w:sz w:val="24"/>
              </w:rPr>
              <w:t>红薯添加</w:t>
            </w:r>
            <w:r>
              <w:rPr>
                <w:rFonts w:hint="eastAsia"/>
                <w:color w:val="000000" w:themeColor="text1"/>
                <w:sz w:val="24"/>
              </w:rPr>
              <w:t>0. 5ml</w:t>
            </w:r>
            <w:r>
              <w:rPr>
                <w:rFonts w:hint="eastAsia" w:hAnsi="宋体"/>
                <w:color w:val="000000" w:themeColor="text1"/>
                <w:sz w:val="24"/>
              </w:rPr>
              <w:t>标准溶液</w:t>
            </w:r>
          </w:p>
        </w:tc>
        <w:tc>
          <w:tcPr>
            <w:tcW w:w="916" w:type="pct"/>
            <w:shd w:val="clear" w:color="auto" w:fill="auto"/>
            <w:noWrap/>
            <w:vAlign w:val="center"/>
          </w:tcPr>
          <w:p>
            <w:pPr>
              <w:jc w:val="center"/>
              <w:rPr>
                <w:color w:val="000000" w:themeColor="text1"/>
                <w:sz w:val="24"/>
              </w:rPr>
            </w:pPr>
            <w:r>
              <w:rPr>
                <w:color w:val="000000" w:themeColor="text1"/>
                <w:sz w:val="24"/>
              </w:rPr>
              <w:t>24.81</w:t>
            </w:r>
          </w:p>
        </w:tc>
        <w:tc>
          <w:tcPr>
            <w:tcW w:w="763" w:type="pct"/>
            <w:shd w:val="clear" w:color="auto" w:fill="auto"/>
            <w:noWrap/>
            <w:vAlign w:val="center"/>
          </w:tcPr>
          <w:p>
            <w:pPr>
              <w:jc w:val="center"/>
              <w:rPr>
                <w:color w:val="000000" w:themeColor="text1"/>
                <w:sz w:val="24"/>
              </w:rPr>
            </w:pPr>
            <w:r>
              <w:rPr>
                <w:color w:val="000000" w:themeColor="text1"/>
                <w:sz w:val="24"/>
              </w:rPr>
              <w:t>14.56</w:t>
            </w:r>
          </w:p>
        </w:tc>
        <w:tc>
          <w:tcPr>
            <w:tcW w:w="687" w:type="pct"/>
            <w:shd w:val="clear" w:color="auto" w:fill="auto"/>
            <w:noWrap/>
            <w:vAlign w:val="center"/>
          </w:tcPr>
          <w:p>
            <w:pPr>
              <w:jc w:val="center"/>
              <w:rPr>
                <w:color w:val="000000" w:themeColor="text1"/>
                <w:sz w:val="24"/>
              </w:rPr>
            </w:pPr>
            <w:r>
              <w:rPr>
                <w:color w:val="000000" w:themeColor="text1"/>
                <w:sz w:val="24"/>
              </w:rPr>
              <w:t>10</w:t>
            </w:r>
          </w:p>
        </w:tc>
        <w:tc>
          <w:tcPr>
            <w:tcW w:w="821" w:type="pct"/>
            <w:shd w:val="clear" w:color="auto" w:fill="auto"/>
            <w:noWrap/>
            <w:vAlign w:val="center"/>
          </w:tcPr>
          <w:p>
            <w:pPr>
              <w:jc w:val="center"/>
              <w:rPr>
                <w:color w:val="000000" w:themeColor="text1"/>
                <w:sz w:val="24"/>
              </w:rPr>
            </w:pPr>
            <w:r>
              <w:rPr>
                <w:color w:val="000000" w:themeColor="text1"/>
                <w:sz w:val="24"/>
              </w:rPr>
              <w:t>102.5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814" w:type="pct"/>
            <w:shd w:val="clear" w:color="auto" w:fill="auto"/>
            <w:noWrap/>
            <w:vAlign w:val="center"/>
          </w:tcPr>
          <w:p>
            <w:pPr>
              <w:jc w:val="center"/>
              <w:rPr>
                <w:color w:val="000000" w:themeColor="text1"/>
                <w:sz w:val="24"/>
              </w:rPr>
            </w:pPr>
            <w:r>
              <w:rPr>
                <w:rFonts w:hAnsi="宋体"/>
                <w:color w:val="000000" w:themeColor="text1"/>
                <w:sz w:val="24"/>
              </w:rPr>
              <w:t>红薯添加</w:t>
            </w:r>
            <w:r>
              <w:rPr>
                <w:rFonts w:hint="eastAsia"/>
                <w:color w:val="000000" w:themeColor="text1"/>
                <w:sz w:val="24"/>
              </w:rPr>
              <w:t>1ml</w:t>
            </w:r>
            <w:r>
              <w:rPr>
                <w:rFonts w:hint="eastAsia" w:hAnsi="宋体"/>
                <w:color w:val="000000" w:themeColor="text1"/>
                <w:sz w:val="24"/>
              </w:rPr>
              <w:t>标准溶液</w:t>
            </w:r>
          </w:p>
        </w:tc>
        <w:tc>
          <w:tcPr>
            <w:tcW w:w="916" w:type="pct"/>
            <w:shd w:val="clear" w:color="auto" w:fill="auto"/>
            <w:noWrap/>
            <w:vAlign w:val="center"/>
          </w:tcPr>
          <w:p>
            <w:pPr>
              <w:jc w:val="center"/>
              <w:rPr>
                <w:color w:val="000000" w:themeColor="text1"/>
                <w:sz w:val="24"/>
              </w:rPr>
            </w:pPr>
            <w:r>
              <w:rPr>
                <w:color w:val="000000" w:themeColor="text1"/>
                <w:sz w:val="24"/>
              </w:rPr>
              <w:t>34.97</w:t>
            </w:r>
          </w:p>
        </w:tc>
        <w:tc>
          <w:tcPr>
            <w:tcW w:w="763" w:type="pct"/>
            <w:shd w:val="clear" w:color="auto" w:fill="auto"/>
            <w:noWrap/>
            <w:vAlign w:val="center"/>
          </w:tcPr>
          <w:p>
            <w:pPr>
              <w:jc w:val="center"/>
              <w:rPr>
                <w:color w:val="000000" w:themeColor="text1"/>
                <w:sz w:val="24"/>
              </w:rPr>
            </w:pPr>
            <w:r>
              <w:rPr>
                <w:color w:val="000000" w:themeColor="text1"/>
                <w:sz w:val="24"/>
              </w:rPr>
              <w:t>14.56</w:t>
            </w:r>
          </w:p>
        </w:tc>
        <w:tc>
          <w:tcPr>
            <w:tcW w:w="687" w:type="pct"/>
            <w:shd w:val="clear" w:color="auto" w:fill="auto"/>
            <w:noWrap/>
            <w:vAlign w:val="center"/>
          </w:tcPr>
          <w:p>
            <w:pPr>
              <w:jc w:val="center"/>
              <w:rPr>
                <w:color w:val="000000" w:themeColor="text1"/>
                <w:sz w:val="24"/>
              </w:rPr>
            </w:pPr>
            <w:r>
              <w:rPr>
                <w:color w:val="000000" w:themeColor="text1"/>
                <w:sz w:val="24"/>
              </w:rPr>
              <w:t>20</w:t>
            </w:r>
          </w:p>
        </w:tc>
        <w:tc>
          <w:tcPr>
            <w:tcW w:w="821" w:type="pct"/>
            <w:shd w:val="clear" w:color="auto" w:fill="auto"/>
            <w:noWrap/>
            <w:vAlign w:val="center"/>
          </w:tcPr>
          <w:p>
            <w:pPr>
              <w:jc w:val="center"/>
              <w:rPr>
                <w:color w:val="000000" w:themeColor="text1"/>
                <w:sz w:val="24"/>
              </w:rPr>
            </w:pPr>
            <w:r>
              <w:rPr>
                <w:color w:val="000000" w:themeColor="text1"/>
                <w:sz w:val="24"/>
              </w:rPr>
              <w:t>102.08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814" w:type="pct"/>
            <w:shd w:val="clear" w:color="auto" w:fill="auto"/>
            <w:noWrap/>
            <w:vAlign w:val="center"/>
          </w:tcPr>
          <w:p>
            <w:pPr>
              <w:jc w:val="center"/>
              <w:rPr>
                <w:color w:val="000000" w:themeColor="text1"/>
                <w:sz w:val="24"/>
              </w:rPr>
            </w:pPr>
            <w:r>
              <w:rPr>
                <w:rFonts w:hAnsi="宋体"/>
                <w:color w:val="000000" w:themeColor="text1"/>
                <w:sz w:val="24"/>
              </w:rPr>
              <w:t>红薯添加</w:t>
            </w:r>
            <w:r>
              <w:rPr>
                <w:rFonts w:hint="eastAsia"/>
                <w:color w:val="000000" w:themeColor="text1"/>
                <w:sz w:val="24"/>
              </w:rPr>
              <w:t>2ml</w:t>
            </w:r>
            <w:r>
              <w:rPr>
                <w:rFonts w:hint="eastAsia" w:hAnsi="宋体"/>
                <w:color w:val="000000" w:themeColor="text1"/>
                <w:sz w:val="24"/>
              </w:rPr>
              <w:t>标准溶液</w:t>
            </w:r>
          </w:p>
        </w:tc>
        <w:tc>
          <w:tcPr>
            <w:tcW w:w="916" w:type="pct"/>
            <w:shd w:val="clear" w:color="auto" w:fill="auto"/>
            <w:noWrap/>
            <w:vAlign w:val="center"/>
          </w:tcPr>
          <w:p>
            <w:pPr>
              <w:jc w:val="center"/>
              <w:rPr>
                <w:color w:val="000000" w:themeColor="text1"/>
                <w:sz w:val="24"/>
              </w:rPr>
            </w:pPr>
            <w:r>
              <w:rPr>
                <w:color w:val="000000" w:themeColor="text1"/>
                <w:sz w:val="24"/>
              </w:rPr>
              <w:t>56</w:t>
            </w:r>
            <w:r>
              <w:rPr>
                <w:rFonts w:hint="eastAsia"/>
                <w:color w:val="000000" w:themeColor="text1"/>
                <w:sz w:val="24"/>
              </w:rPr>
              <w:t>.00</w:t>
            </w:r>
          </w:p>
        </w:tc>
        <w:tc>
          <w:tcPr>
            <w:tcW w:w="763" w:type="pct"/>
            <w:shd w:val="clear" w:color="auto" w:fill="auto"/>
            <w:noWrap/>
            <w:vAlign w:val="center"/>
          </w:tcPr>
          <w:p>
            <w:pPr>
              <w:jc w:val="center"/>
              <w:rPr>
                <w:color w:val="000000" w:themeColor="text1"/>
                <w:sz w:val="24"/>
              </w:rPr>
            </w:pPr>
            <w:r>
              <w:rPr>
                <w:color w:val="000000" w:themeColor="text1"/>
                <w:sz w:val="24"/>
              </w:rPr>
              <w:t>14.56</w:t>
            </w:r>
          </w:p>
        </w:tc>
        <w:tc>
          <w:tcPr>
            <w:tcW w:w="687" w:type="pct"/>
            <w:shd w:val="clear" w:color="auto" w:fill="auto"/>
            <w:noWrap/>
            <w:vAlign w:val="center"/>
          </w:tcPr>
          <w:p>
            <w:pPr>
              <w:jc w:val="center"/>
              <w:rPr>
                <w:color w:val="000000" w:themeColor="text1"/>
                <w:sz w:val="24"/>
              </w:rPr>
            </w:pPr>
            <w:r>
              <w:rPr>
                <w:color w:val="000000" w:themeColor="text1"/>
                <w:sz w:val="24"/>
              </w:rPr>
              <w:t>40</w:t>
            </w:r>
          </w:p>
        </w:tc>
        <w:tc>
          <w:tcPr>
            <w:tcW w:w="821" w:type="pct"/>
            <w:shd w:val="clear" w:color="auto" w:fill="auto"/>
            <w:noWrap/>
            <w:vAlign w:val="center"/>
          </w:tcPr>
          <w:p>
            <w:pPr>
              <w:jc w:val="center"/>
              <w:rPr>
                <w:color w:val="000000" w:themeColor="text1"/>
                <w:sz w:val="24"/>
              </w:rPr>
            </w:pPr>
            <w:r>
              <w:rPr>
                <w:color w:val="000000" w:themeColor="text1"/>
                <w:sz w:val="24"/>
              </w:rPr>
              <w:t>103.61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814" w:type="pct"/>
            <w:shd w:val="clear" w:color="auto" w:fill="auto"/>
            <w:noWrap/>
            <w:vAlign w:val="center"/>
          </w:tcPr>
          <w:p>
            <w:pPr>
              <w:jc w:val="center"/>
              <w:rPr>
                <w:color w:val="000000" w:themeColor="text1"/>
                <w:sz w:val="24"/>
              </w:rPr>
            </w:pPr>
            <w:r>
              <w:rPr>
                <w:rFonts w:hAnsi="宋体"/>
                <w:color w:val="000000" w:themeColor="text1"/>
                <w:sz w:val="24"/>
              </w:rPr>
              <w:t>木薯添加</w:t>
            </w:r>
            <w:r>
              <w:rPr>
                <w:rFonts w:hint="eastAsia"/>
                <w:color w:val="000000" w:themeColor="text1"/>
                <w:sz w:val="24"/>
              </w:rPr>
              <w:t>0. 5ml</w:t>
            </w:r>
            <w:r>
              <w:rPr>
                <w:rFonts w:hint="eastAsia" w:hAnsi="宋体"/>
                <w:color w:val="000000" w:themeColor="text1"/>
                <w:sz w:val="24"/>
              </w:rPr>
              <w:t>标准溶液</w:t>
            </w:r>
          </w:p>
        </w:tc>
        <w:tc>
          <w:tcPr>
            <w:tcW w:w="916" w:type="pct"/>
            <w:shd w:val="clear" w:color="auto" w:fill="auto"/>
            <w:noWrap/>
            <w:vAlign w:val="center"/>
          </w:tcPr>
          <w:p>
            <w:pPr>
              <w:jc w:val="center"/>
              <w:rPr>
                <w:color w:val="000000" w:themeColor="text1"/>
                <w:sz w:val="24"/>
              </w:rPr>
            </w:pPr>
            <w:r>
              <w:rPr>
                <w:color w:val="000000" w:themeColor="text1"/>
                <w:sz w:val="24"/>
              </w:rPr>
              <w:t>37.69</w:t>
            </w:r>
          </w:p>
        </w:tc>
        <w:tc>
          <w:tcPr>
            <w:tcW w:w="763" w:type="pct"/>
            <w:shd w:val="clear" w:color="auto" w:fill="auto"/>
            <w:noWrap/>
            <w:vAlign w:val="center"/>
          </w:tcPr>
          <w:p>
            <w:pPr>
              <w:jc w:val="center"/>
              <w:rPr>
                <w:color w:val="000000" w:themeColor="text1"/>
                <w:sz w:val="24"/>
              </w:rPr>
            </w:pPr>
            <w:r>
              <w:rPr>
                <w:color w:val="000000" w:themeColor="text1"/>
                <w:sz w:val="24"/>
              </w:rPr>
              <w:t>28.36</w:t>
            </w:r>
          </w:p>
        </w:tc>
        <w:tc>
          <w:tcPr>
            <w:tcW w:w="687" w:type="pct"/>
            <w:shd w:val="clear" w:color="auto" w:fill="auto"/>
            <w:noWrap/>
            <w:vAlign w:val="center"/>
          </w:tcPr>
          <w:p>
            <w:pPr>
              <w:jc w:val="center"/>
              <w:rPr>
                <w:color w:val="000000" w:themeColor="text1"/>
                <w:sz w:val="24"/>
              </w:rPr>
            </w:pPr>
            <w:r>
              <w:rPr>
                <w:color w:val="000000" w:themeColor="text1"/>
                <w:sz w:val="24"/>
              </w:rPr>
              <w:t>10</w:t>
            </w:r>
          </w:p>
        </w:tc>
        <w:tc>
          <w:tcPr>
            <w:tcW w:w="821" w:type="pct"/>
            <w:shd w:val="clear" w:color="auto" w:fill="auto"/>
            <w:noWrap/>
            <w:vAlign w:val="center"/>
          </w:tcPr>
          <w:p>
            <w:pPr>
              <w:jc w:val="center"/>
              <w:rPr>
                <w:color w:val="000000" w:themeColor="text1"/>
                <w:sz w:val="24"/>
              </w:rPr>
            </w:pPr>
            <w:r>
              <w:rPr>
                <w:color w:val="000000" w:themeColor="text1"/>
                <w:sz w:val="24"/>
              </w:rPr>
              <w:t>93.33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814" w:type="pct"/>
            <w:shd w:val="clear" w:color="auto" w:fill="auto"/>
            <w:noWrap/>
            <w:vAlign w:val="center"/>
          </w:tcPr>
          <w:p>
            <w:pPr>
              <w:jc w:val="center"/>
              <w:rPr>
                <w:color w:val="000000" w:themeColor="text1"/>
                <w:sz w:val="24"/>
              </w:rPr>
            </w:pPr>
            <w:r>
              <w:rPr>
                <w:rFonts w:hAnsi="宋体"/>
                <w:color w:val="000000" w:themeColor="text1"/>
                <w:sz w:val="24"/>
              </w:rPr>
              <w:t>木薯添加</w:t>
            </w:r>
            <w:r>
              <w:rPr>
                <w:rFonts w:hint="eastAsia"/>
                <w:color w:val="000000" w:themeColor="text1"/>
                <w:sz w:val="24"/>
              </w:rPr>
              <w:t>1ml</w:t>
            </w:r>
            <w:r>
              <w:rPr>
                <w:rFonts w:hint="eastAsia" w:hAnsi="宋体"/>
                <w:color w:val="000000" w:themeColor="text1"/>
                <w:sz w:val="24"/>
              </w:rPr>
              <w:t>标准溶液</w:t>
            </w:r>
          </w:p>
        </w:tc>
        <w:tc>
          <w:tcPr>
            <w:tcW w:w="916" w:type="pct"/>
            <w:shd w:val="clear" w:color="auto" w:fill="auto"/>
            <w:noWrap/>
            <w:vAlign w:val="center"/>
          </w:tcPr>
          <w:p>
            <w:pPr>
              <w:jc w:val="center"/>
              <w:rPr>
                <w:color w:val="000000" w:themeColor="text1"/>
                <w:sz w:val="24"/>
              </w:rPr>
            </w:pPr>
            <w:r>
              <w:rPr>
                <w:color w:val="000000" w:themeColor="text1"/>
                <w:sz w:val="24"/>
              </w:rPr>
              <w:t>46.83</w:t>
            </w:r>
          </w:p>
        </w:tc>
        <w:tc>
          <w:tcPr>
            <w:tcW w:w="763" w:type="pct"/>
            <w:shd w:val="clear" w:color="auto" w:fill="auto"/>
            <w:noWrap/>
            <w:vAlign w:val="center"/>
          </w:tcPr>
          <w:p>
            <w:pPr>
              <w:jc w:val="center"/>
              <w:rPr>
                <w:color w:val="000000" w:themeColor="text1"/>
                <w:sz w:val="24"/>
              </w:rPr>
            </w:pPr>
            <w:r>
              <w:rPr>
                <w:color w:val="000000" w:themeColor="text1"/>
                <w:sz w:val="24"/>
              </w:rPr>
              <w:t>28.36</w:t>
            </w:r>
          </w:p>
        </w:tc>
        <w:tc>
          <w:tcPr>
            <w:tcW w:w="687" w:type="pct"/>
            <w:shd w:val="clear" w:color="auto" w:fill="auto"/>
            <w:noWrap/>
            <w:vAlign w:val="center"/>
          </w:tcPr>
          <w:p>
            <w:pPr>
              <w:jc w:val="center"/>
              <w:rPr>
                <w:color w:val="000000" w:themeColor="text1"/>
                <w:sz w:val="24"/>
              </w:rPr>
            </w:pPr>
            <w:r>
              <w:rPr>
                <w:color w:val="000000" w:themeColor="text1"/>
                <w:sz w:val="24"/>
              </w:rPr>
              <w:t>20</w:t>
            </w:r>
          </w:p>
        </w:tc>
        <w:tc>
          <w:tcPr>
            <w:tcW w:w="821" w:type="pct"/>
            <w:shd w:val="clear" w:color="auto" w:fill="auto"/>
            <w:noWrap/>
            <w:vAlign w:val="center"/>
          </w:tcPr>
          <w:p>
            <w:pPr>
              <w:jc w:val="center"/>
              <w:rPr>
                <w:color w:val="000000" w:themeColor="text1"/>
                <w:sz w:val="24"/>
              </w:rPr>
            </w:pPr>
            <w:r>
              <w:rPr>
                <w:color w:val="000000" w:themeColor="text1"/>
                <w:sz w:val="24"/>
              </w:rPr>
              <w:t>92.36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814" w:type="pct"/>
            <w:shd w:val="clear" w:color="auto" w:fill="auto"/>
            <w:noWrap/>
            <w:vAlign w:val="center"/>
          </w:tcPr>
          <w:p>
            <w:pPr>
              <w:jc w:val="center"/>
              <w:rPr>
                <w:color w:val="000000" w:themeColor="text1"/>
                <w:sz w:val="24"/>
              </w:rPr>
            </w:pPr>
            <w:r>
              <w:rPr>
                <w:rFonts w:hAnsi="宋体"/>
                <w:color w:val="000000" w:themeColor="text1"/>
                <w:sz w:val="24"/>
              </w:rPr>
              <w:t>木薯添加</w:t>
            </w:r>
            <w:r>
              <w:rPr>
                <w:rFonts w:hint="eastAsia"/>
                <w:color w:val="000000" w:themeColor="text1"/>
                <w:sz w:val="24"/>
              </w:rPr>
              <w:t>2ml</w:t>
            </w:r>
            <w:r>
              <w:rPr>
                <w:rFonts w:hint="eastAsia" w:hAnsi="宋体"/>
                <w:color w:val="000000" w:themeColor="text1"/>
                <w:sz w:val="24"/>
              </w:rPr>
              <w:t>标准溶液</w:t>
            </w:r>
          </w:p>
        </w:tc>
        <w:tc>
          <w:tcPr>
            <w:tcW w:w="916" w:type="pct"/>
            <w:shd w:val="clear" w:color="auto" w:fill="auto"/>
            <w:noWrap/>
            <w:vAlign w:val="center"/>
          </w:tcPr>
          <w:p>
            <w:pPr>
              <w:jc w:val="center"/>
              <w:rPr>
                <w:color w:val="000000" w:themeColor="text1"/>
                <w:sz w:val="24"/>
              </w:rPr>
            </w:pPr>
            <w:r>
              <w:rPr>
                <w:color w:val="000000" w:themeColor="text1"/>
                <w:sz w:val="24"/>
              </w:rPr>
              <w:t>71.39</w:t>
            </w:r>
          </w:p>
        </w:tc>
        <w:tc>
          <w:tcPr>
            <w:tcW w:w="763" w:type="pct"/>
            <w:shd w:val="clear" w:color="auto" w:fill="auto"/>
            <w:noWrap/>
            <w:vAlign w:val="center"/>
          </w:tcPr>
          <w:p>
            <w:pPr>
              <w:jc w:val="center"/>
              <w:rPr>
                <w:color w:val="000000" w:themeColor="text1"/>
                <w:sz w:val="24"/>
              </w:rPr>
            </w:pPr>
            <w:r>
              <w:rPr>
                <w:color w:val="000000" w:themeColor="text1"/>
                <w:sz w:val="24"/>
              </w:rPr>
              <w:t>28.36</w:t>
            </w:r>
          </w:p>
        </w:tc>
        <w:tc>
          <w:tcPr>
            <w:tcW w:w="687" w:type="pct"/>
            <w:shd w:val="clear" w:color="auto" w:fill="auto"/>
            <w:noWrap/>
            <w:vAlign w:val="center"/>
          </w:tcPr>
          <w:p>
            <w:pPr>
              <w:jc w:val="center"/>
              <w:rPr>
                <w:color w:val="000000" w:themeColor="text1"/>
                <w:sz w:val="24"/>
              </w:rPr>
            </w:pPr>
            <w:r>
              <w:rPr>
                <w:color w:val="000000" w:themeColor="text1"/>
                <w:sz w:val="24"/>
              </w:rPr>
              <w:t>40</w:t>
            </w:r>
          </w:p>
        </w:tc>
        <w:tc>
          <w:tcPr>
            <w:tcW w:w="821" w:type="pct"/>
            <w:shd w:val="clear" w:color="auto" w:fill="auto"/>
            <w:noWrap/>
            <w:vAlign w:val="center"/>
          </w:tcPr>
          <w:p>
            <w:pPr>
              <w:jc w:val="center"/>
              <w:rPr>
                <w:color w:val="000000" w:themeColor="text1"/>
                <w:sz w:val="24"/>
              </w:rPr>
            </w:pPr>
            <w:r>
              <w:rPr>
                <w:color w:val="000000" w:themeColor="text1"/>
                <w:sz w:val="24"/>
              </w:rPr>
              <w:t>107.57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814" w:type="pct"/>
            <w:shd w:val="clear" w:color="auto" w:fill="auto"/>
            <w:noWrap/>
            <w:vAlign w:val="center"/>
          </w:tcPr>
          <w:p>
            <w:pPr>
              <w:jc w:val="center"/>
              <w:rPr>
                <w:color w:val="000000" w:themeColor="text1"/>
                <w:sz w:val="24"/>
              </w:rPr>
            </w:pPr>
            <w:r>
              <w:rPr>
                <w:rFonts w:hAnsi="宋体"/>
                <w:color w:val="000000" w:themeColor="text1"/>
                <w:sz w:val="24"/>
              </w:rPr>
              <w:t>淮山添加</w:t>
            </w:r>
            <w:r>
              <w:rPr>
                <w:rFonts w:hint="eastAsia"/>
                <w:color w:val="000000" w:themeColor="text1"/>
                <w:sz w:val="24"/>
              </w:rPr>
              <w:t>0. 5ml</w:t>
            </w:r>
            <w:r>
              <w:rPr>
                <w:rFonts w:hint="eastAsia" w:hAnsi="宋体"/>
                <w:color w:val="000000" w:themeColor="text1"/>
                <w:sz w:val="24"/>
              </w:rPr>
              <w:t>标准溶液</w:t>
            </w:r>
          </w:p>
        </w:tc>
        <w:tc>
          <w:tcPr>
            <w:tcW w:w="916" w:type="pct"/>
            <w:shd w:val="clear" w:color="auto" w:fill="auto"/>
            <w:noWrap/>
            <w:vAlign w:val="center"/>
          </w:tcPr>
          <w:p>
            <w:pPr>
              <w:jc w:val="center"/>
              <w:rPr>
                <w:color w:val="000000" w:themeColor="text1"/>
                <w:sz w:val="24"/>
              </w:rPr>
            </w:pPr>
            <w:r>
              <w:rPr>
                <w:color w:val="000000" w:themeColor="text1"/>
                <w:sz w:val="24"/>
              </w:rPr>
              <w:t>32.75</w:t>
            </w:r>
          </w:p>
        </w:tc>
        <w:tc>
          <w:tcPr>
            <w:tcW w:w="763" w:type="pct"/>
            <w:shd w:val="clear" w:color="auto" w:fill="auto"/>
            <w:noWrap/>
            <w:vAlign w:val="center"/>
          </w:tcPr>
          <w:p>
            <w:pPr>
              <w:jc w:val="center"/>
              <w:rPr>
                <w:color w:val="000000" w:themeColor="text1"/>
                <w:sz w:val="24"/>
              </w:rPr>
            </w:pPr>
            <w:r>
              <w:rPr>
                <w:color w:val="000000" w:themeColor="text1"/>
                <w:sz w:val="24"/>
              </w:rPr>
              <w:t>23.67</w:t>
            </w:r>
          </w:p>
        </w:tc>
        <w:tc>
          <w:tcPr>
            <w:tcW w:w="687" w:type="pct"/>
            <w:shd w:val="clear" w:color="auto" w:fill="auto"/>
            <w:noWrap/>
            <w:vAlign w:val="center"/>
          </w:tcPr>
          <w:p>
            <w:pPr>
              <w:jc w:val="center"/>
              <w:rPr>
                <w:color w:val="000000" w:themeColor="text1"/>
                <w:sz w:val="24"/>
              </w:rPr>
            </w:pPr>
            <w:r>
              <w:rPr>
                <w:color w:val="000000" w:themeColor="text1"/>
                <w:sz w:val="24"/>
              </w:rPr>
              <w:t>10</w:t>
            </w:r>
          </w:p>
        </w:tc>
        <w:tc>
          <w:tcPr>
            <w:tcW w:w="821" w:type="pct"/>
            <w:shd w:val="clear" w:color="auto" w:fill="auto"/>
            <w:noWrap/>
            <w:vAlign w:val="center"/>
          </w:tcPr>
          <w:p>
            <w:pPr>
              <w:jc w:val="center"/>
              <w:rPr>
                <w:color w:val="000000" w:themeColor="text1"/>
                <w:sz w:val="24"/>
              </w:rPr>
            </w:pPr>
            <w:r>
              <w:rPr>
                <w:color w:val="000000" w:themeColor="text1"/>
                <w:sz w:val="24"/>
              </w:rPr>
              <w:t>90.83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814" w:type="pct"/>
            <w:shd w:val="clear" w:color="auto" w:fill="auto"/>
            <w:noWrap/>
            <w:vAlign w:val="center"/>
          </w:tcPr>
          <w:p>
            <w:pPr>
              <w:jc w:val="center"/>
              <w:rPr>
                <w:color w:val="000000" w:themeColor="text1"/>
                <w:sz w:val="24"/>
              </w:rPr>
            </w:pPr>
            <w:r>
              <w:rPr>
                <w:rFonts w:hAnsi="宋体"/>
                <w:color w:val="000000" w:themeColor="text1"/>
                <w:sz w:val="24"/>
              </w:rPr>
              <w:t>淮山添加</w:t>
            </w:r>
            <w:r>
              <w:rPr>
                <w:rFonts w:hint="eastAsia"/>
                <w:color w:val="000000" w:themeColor="text1"/>
                <w:sz w:val="24"/>
              </w:rPr>
              <w:t>1ml</w:t>
            </w:r>
            <w:r>
              <w:rPr>
                <w:rFonts w:hint="eastAsia" w:hAnsi="宋体"/>
                <w:color w:val="000000" w:themeColor="text1"/>
                <w:sz w:val="24"/>
              </w:rPr>
              <w:t>标准溶液</w:t>
            </w:r>
          </w:p>
        </w:tc>
        <w:tc>
          <w:tcPr>
            <w:tcW w:w="916" w:type="pct"/>
            <w:shd w:val="clear" w:color="auto" w:fill="auto"/>
            <w:noWrap/>
            <w:vAlign w:val="center"/>
          </w:tcPr>
          <w:p>
            <w:pPr>
              <w:jc w:val="center"/>
              <w:rPr>
                <w:color w:val="000000" w:themeColor="text1"/>
                <w:sz w:val="24"/>
              </w:rPr>
            </w:pPr>
            <w:r>
              <w:rPr>
                <w:color w:val="000000" w:themeColor="text1"/>
                <w:sz w:val="24"/>
              </w:rPr>
              <w:t>41.22</w:t>
            </w:r>
          </w:p>
        </w:tc>
        <w:tc>
          <w:tcPr>
            <w:tcW w:w="763" w:type="pct"/>
            <w:shd w:val="clear" w:color="auto" w:fill="auto"/>
            <w:noWrap/>
            <w:vAlign w:val="center"/>
          </w:tcPr>
          <w:p>
            <w:pPr>
              <w:jc w:val="center"/>
              <w:rPr>
                <w:color w:val="000000" w:themeColor="text1"/>
                <w:sz w:val="24"/>
              </w:rPr>
            </w:pPr>
            <w:r>
              <w:rPr>
                <w:color w:val="000000" w:themeColor="text1"/>
                <w:sz w:val="24"/>
              </w:rPr>
              <w:t>23.67</w:t>
            </w:r>
          </w:p>
        </w:tc>
        <w:tc>
          <w:tcPr>
            <w:tcW w:w="687" w:type="pct"/>
            <w:shd w:val="clear" w:color="auto" w:fill="auto"/>
            <w:noWrap/>
            <w:vAlign w:val="center"/>
          </w:tcPr>
          <w:p>
            <w:pPr>
              <w:jc w:val="center"/>
              <w:rPr>
                <w:color w:val="000000" w:themeColor="text1"/>
                <w:sz w:val="24"/>
              </w:rPr>
            </w:pPr>
            <w:r>
              <w:rPr>
                <w:color w:val="000000" w:themeColor="text1"/>
                <w:sz w:val="24"/>
              </w:rPr>
              <w:t>20</w:t>
            </w:r>
          </w:p>
        </w:tc>
        <w:tc>
          <w:tcPr>
            <w:tcW w:w="821" w:type="pct"/>
            <w:shd w:val="clear" w:color="auto" w:fill="auto"/>
            <w:noWrap/>
            <w:vAlign w:val="center"/>
          </w:tcPr>
          <w:p>
            <w:pPr>
              <w:jc w:val="center"/>
              <w:rPr>
                <w:color w:val="000000" w:themeColor="text1"/>
                <w:sz w:val="24"/>
              </w:rPr>
            </w:pPr>
            <w:r>
              <w:rPr>
                <w:color w:val="000000" w:themeColor="text1"/>
                <w:sz w:val="24"/>
              </w:rPr>
              <w:t>87.78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814" w:type="pct"/>
            <w:shd w:val="clear" w:color="auto" w:fill="auto"/>
            <w:noWrap/>
            <w:vAlign w:val="center"/>
          </w:tcPr>
          <w:p>
            <w:pPr>
              <w:jc w:val="center"/>
              <w:rPr>
                <w:color w:val="000000" w:themeColor="text1"/>
                <w:sz w:val="24"/>
              </w:rPr>
            </w:pPr>
            <w:r>
              <w:rPr>
                <w:rFonts w:hAnsi="宋体"/>
                <w:color w:val="000000" w:themeColor="text1"/>
                <w:sz w:val="24"/>
              </w:rPr>
              <w:t>淮山添加</w:t>
            </w:r>
            <w:r>
              <w:rPr>
                <w:rFonts w:hint="eastAsia"/>
                <w:color w:val="000000" w:themeColor="text1"/>
                <w:sz w:val="24"/>
              </w:rPr>
              <w:t>2ml</w:t>
            </w:r>
            <w:r>
              <w:rPr>
                <w:rFonts w:hint="eastAsia" w:hAnsi="宋体"/>
                <w:color w:val="000000" w:themeColor="text1"/>
                <w:sz w:val="24"/>
              </w:rPr>
              <w:t>标准溶液</w:t>
            </w:r>
          </w:p>
        </w:tc>
        <w:tc>
          <w:tcPr>
            <w:tcW w:w="916" w:type="pct"/>
            <w:shd w:val="clear" w:color="auto" w:fill="auto"/>
            <w:noWrap/>
            <w:vAlign w:val="center"/>
          </w:tcPr>
          <w:p>
            <w:pPr>
              <w:jc w:val="center"/>
              <w:rPr>
                <w:color w:val="000000" w:themeColor="text1"/>
                <w:sz w:val="24"/>
              </w:rPr>
            </w:pPr>
            <w:r>
              <w:rPr>
                <w:color w:val="000000" w:themeColor="text1"/>
                <w:sz w:val="24"/>
              </w:rPr>
              <w:t>63.47</w:t>
            </w:r>
          </w:p>
        </w:tc>
        <w:tc>
          <w:tcPr>
            <w:tcW w:w="763" w:type="pct"/>
            <w:shd w:val="clear" w:color="auto" w:fill="auto"/>
            <w:noWrap/>
            <w:vAlign w:val="center"/>
          </w:tcPr>
          <w:p>
            <w:pPr>
              <w:jc w:val="center"/>
              <w:rPr>
                <w:color w:val="000000" w:themeColor="text1"/>
                <w:sz w:val="24"/>
              </w:rPr>
            </w:pPr>
            <w:r>
              <w:rPr>
                <w:color w:val="000000" w:themeColor="text1"/>
                <w:sz w:val="24"/>
              </w:rPr>
              <w:t>23.67</w:t>
            </w:r>
          </w:p>
        </w:tc>
        <w:tc>
          <w:tcPr>
            <w:tcW w:w="687" w:type="pct"/>
            <w:shd w:val="clear" w:color="auto" w:fill="auto"/>
            <w:noWrap/>
            <w:vAlign w:val="center"/>
          </w:tcPr>
          <w:p>
            <w:pPr>
              <w:jc w:val="center"/>
              <w:rPr>
                <w:color w:val="000000" w:themeColor="text1"/>
                <w:sz w:val="24"/>
              </w:rPr>
            </w:pPr>
            <w:r>
              <w:rPr>
                <w:color w:val="000000" w:themeColor="text1"/>
                <w:sz w:val="24"/>
              </w:rPr>
              <w:t>40</w:t>
            </w:r>
          </w:p>
        </w:tc>
        <w:tc>
          <w:tcPr>
            <w:tcW w:w="821" w:type="pct"/>
            <w:shd w:val="clear" w:color="auto" w:fill="auto"/>
            <w:noWrap/>
            <w:vAlign w:val="center"/>
          </w:tcPr>
          <w:p>
            <w:pPr>
              <w:jc w:val="center"/>
              <w:rPr>
                <w:color w:val="000000" w:themeColor="text1"/>
                <w:sz w:val="24"/>
              </w:rPr>
            </w:pPr>
            <w:r>
              <w:rPr>
                <w:color w:val="000000" w:themeColor="text1"/>
                <w:sz w:val="24"/>
              </w:rPr>
              <w:t>99.51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814" w:type="pct"/>
            <w:shd w:val="clear" w:color="auto" w:fill="auto"/>
            <w:noWrap/>
            <w:vAlign w:val="center"/>
          </w:tcPr>
          <w:p>
            <w:pPr>
              <w:jc w:val="center"/>
              <w:rPr>
                <w:color w:val="000000" w:themeColor="text1"/>
                <w:sz w:val="24"/>
              </w:rPr>
            </w:pPr>
            <w:r>
              <w:rPr>
                <w:rFonts w:hAnsi="宋体"/>
                <w:color w:val="000000" w:themeColor="text1"/>
                <w:sz w:val="24"/>
              </w:rPr>
              <w:t>土豆添加添加</w:t>
            </w:r>
            <w:r>
              <w:rPr>
                <w:rFonts w:hint="eastAsia"/>
                <w:color w:val="000000" w:themeColor="text1"/>
                <w:sz w:val="24"/>
              </w:rPr>
              <w:t>0. 5ml</w:t>
            </w:r>
            <w:r>
              <w:rPr>
                <w:rFonts w:hint="eastAsia" w:hAnsi="宋体"/>
                <w:color w:val="000000" w:themeColor="text1"/>
                <w:sz w:val="24"/>
              </w:rPr>
              <w:t>标准溶液</w:t>
            </w:r>
          </w:p>
        </w:tc>
        <w:tc>
          <w:tcPr>
            <w:tcW w:w="916" w:type="pct"/>
            <w:shd w:val="clear" w:color="auto" w:fill="auto"/>
            <w:noWrap/>
            <w:vAlign w:val="center"/>
          </w:tcPr>
          <w:p>
            <w:pPr>
              <w:jc w:val="center"/>
              <w:rPr>
                <w:color w:val="000000" w:themeColor="text1"/>
                <w:sz w:val="24"/>
              </w:rPr>
            </w:pPr>
            <w:r>
              <w:rPr>
                <w:color w:val="000000" w:themeColor="text1"/>
                <w:sz w:val="24"/>
              </w:rPr>
              <w:t>54.97</w:t>
            </w:r>
          </w:p>
        </w:tc>
        <w:tc>
          <w:tcPr>
            <w:tcW w:w="763" w:type="pct"/>
            <w:shd w:val="clear" w:color="auto" w:fill="auto"/>
            <w:noWrap/>
            <w:vAlign w:val="center"/>
          </w:tcPr>
          <w:p>
            <w:pPr>
              <w:jc w:val="center"/>
              <w:rPr>
                <w:color w:val="000000" w:themeColor="text1"/>
                <w:sz w:val="24"/>
              </w:rPr>
            </w:pPr>
            <w:r>
              <w:rPr>
                <w:color w:val="000000" w:themeColor="text1"/>
                <w:sz w:val="24"/>
              </w:rPr>
              <w:t>45.56</w:t>
            </w:r>
          </w:p>
        </w:tc>
        <w:tc>
          <w:tcPr>
            <w:tcW w:w="687" w:type="pct"/>
            <w:shd w:val="clear" w:color="auto" w:fill="auto"/>
            <w:noWrap/>
            <w:vAlign w:val="center"/>
          </w:tcPr>
          <w:p>
            <w:pPr>
              <w:jc w:val="center"/>
              <w:rPr>
                <w:color w:val="000000" w:themeColor="text1"/>
                <w:sz w:val="24"/>
              </w:rPr>
            </w:pPr>
            <w:r>
              <w:rPr>
                <w:color w:val="000000" w:themeColor="text1"/>
                <w:sz w:val="24"/>
              </w:rPr>
              <w:t>10</w:t>
            </w:r>
          </w:p>
        </w:tc>
        <w:tc>
          <w:tcPr>
            <w:tcW w:w="821" w:type="pct"/>
            <w:shd w:val="clear" w:color="auto" w:fill="auto"/>
            <w:noWrap/>
            <w:vAlign w:val="center"/>
          </w:tcPr>
          <w:p>
            <w:pPr>
              <w:jc w:val="center"/>
              <w:rPr>
                <w:color w:val="000000" w:themeColor="text1"/>
                <w:sz w:val="24"/>
              </w:rPr>
            </w:pPr>
            <w:r>
              <w:rPr>
                <w:color w:val="000000" w:themeColor="text1"/>
                <w:sz w:val="24"/>
              </w:rPr>
              <w:t>94.17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814" w:type="pct"/>
            <w:shd w:val="clear" w:color="auto" w:fill="auto"/>
            <w:noWrap/>
            <w:vAlign w:val="center"/>
          </w:tcPr>
          <w:p>
            <w:pPr>
              <w:jc w:val="center"/>
              <w:rPr>
                <w:color w:val="000000" w:themeColor="text1"/>
                <w:sz w:val="24"/>
              </w:rPr>
            </w:pPr>
            <w:r>
              <w:rPr>
                <w:rFonts w:hAnsi="宋体"/>
                <w:color w:val="000000" w:themeColor="text1"/>
                <w:sz w:val="24"/>
              </w:rPr>
              <w:t>土豆添加</w:t>
            </w:r>
            <w:r>
              <w:rPr>
                <w:rFonts w:hint="eastAsia"/>
                <w:color w:val="000000" w:themeColor="text1"/>
                <w:sz w:val="24"/>
              </w:rPr>
              <w:t>1ml</w:t>
            </w:r>
            <w:r>
              <w:rPr>
                <w:rFonts w:hint="eastAsia" w:hAnsi="宋体"/>
                <w:color w:val="000000" w:themeColor="text1"/>
                <w:sz w:val="24"/>
              </w:rPr>
              <w:t>标准溶液</w:t>
            </w:r>
          </w:p>
        </w:tc>
        <w:tc>
          <w:tcPr>
            <w:tcW w:w="916" w:type="pct"/>
            <w:shd w:val="clear" w:color="auto" w:fill="auto"/>
            <w:noWrap/>
            <w:vAlign w:val="center"/>
          </w:tcPr>
          <w:p>
            <w:pPr>
              <w:jc w:val="center"/>
              <w:rPr>
                <w:color w:val="000000" w:themeColor="text1"/>
                <w:sz w:val="24"/>
              </w:rPr>
            </w:pPr>
            <w:r>
              <w:rPr>
                <w:color w:val="000000" w:themeColor="text1"/>
                <w:sz w:val="24"/>
              </w:rPr>
              <w:t>66.08</w:t>
            </w:r>
          </w:p>
        </w:tc>
        <w:tc>
          <w:tcPr>
            <w:tcW w:w="763" w:type="pct"/>
            <w:shd w:val="clear" w:color="auto" w:fill="auto"/>
            <w:noWrap/>
            <w:vAlign w:val="center"/>
          </w:tcPr>
          <w:p>
            <w:pPr>
              <w:jc w:val="center"/>
              <w:rPr>
                <w:color w:val="000000" w:themeColor="text1"/>
                <w:sz w:val="24"/>
              </w:rPr>
            </w:pPr>
            <w:r>
              <w:rPr>
                <w:color w:val="000000" w:themeColor="text1"/>
                <w:sz w:val="24"/>
              </w:rPr>
              <w:t>45.56</w:t>
            </w:r>
          </w:p>
        </w:tc>
        <w:tc>
          <w:tcPr>
            <w:tcW w:w="687" w:type="pct"/>
            <w:shd w:val="clear" w:color="auto" w:fill="auto"/>
            <w:noWrap/>
            <w:vAlign w:val="center"/>
          </w:tcPr>
          <w:p>
            <w:pPr>
              <w:jc w:val="center"/>
              <w:rPr>
                <w:color w:val="000000" w:themeColor="text1"/>
                <w:sz w:val="24"/>
              </w:rPr>
            </w:pPr>
            <w:r>
              <w:rPr>
                <w:color w:val="000000" w:themeColor="text1"/>
                <w:sz w:val="24"/>
              </w:rPr>
              <w:t>20</w:t>
            </w:r>
          </w:p>
        </w:tc>
        <w:tc>
          <w:tcPr>
            <w:tcW w:w="821" w:type="pct"/>
            <w:shd w:val="clear" w:color="auto" w:fill="auto"/>
            <w:noWrap/>
            <w:vAlign w:val="center"/>
          </w:tcPr>
          <w:p>
            <w:pPr>
              <w:jc w:val="center"/>
              <w:rPr>
                <w:color w:val="000000" w:themeColor="text1"/>
                <w:sz w:val="24"/>
              </w:rPr>
            </w:pPr>
            <w:r>
              <w:rPr>
                <w:color w:val="000000" w:themeColor="text1"/>
                <w:sz w:val="24"/>
              </w:rPr>
              <w:t>102.64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814" w:type="pct"/>
            <w:shd w:val="clear" w:color="auto" w:fill="auto"/>
            <w:noWrap/>
            <w:vAlign w:val="center"/>
          </w:tcPr>
          <w:p>
            <w:pPr>
              <w:jc w:val="center"/>
              <w:rPr>
                <w:color w:val="000000" w:themeColor="text1"/>
                <w:sz w:val="24"/>
              </w:rPr>
            </w:pPr>
            <w:r>
              <w:rPr>
                <w:rFonts w:hAnsi="宋体"/>
                <w:color w:val="000000" w:themeColor="text1"/>
                <w:sz w:val="24"/>
              </w:rPr>
              <w:t>土豆添加</w:t>
            </w:r>
            <w:r>
              <w:rPr>
                <w:rFonts w:hint="eastAsia"/>
                <w:color w:val="000000" w:themeColor="text1"/>
                <w:sz w:val="24"/>
              </w:rPr>
              <w:t>2ml</w:t>
            </w:r>
            <w:r>
              <w:rPr>
                <w:rFonts w:hint="eastAsia" w:hAnsi="宋体"/>
                <w:color w:val="000000" w:themeColor="text1"/>
                <w:sz w:val="24"/>
              </w:rPr>
              <w:t>标准溶液</w:t>
            </w:r>
          </w:p>
        </w:tc>
        <w:tc>
          <w:tcPr>
            <w:tcW w:w="916" w:type="pct"/>
            <w:shd w:val="clear" w:color="auto" w:fill="auto"/>
            <w:noWrap/>
            <w:vAlign w:val="center"/>
          </w:tcPr>
          <w:p>
            <w:pPr>
              <w:jc w:val="center"/>
              <w:rPr>
                <w:color w:val="000000" w:themeColor="text1"/>
                <w:sz w:val="24"/>
              </w:rPr>
            </w:pPr>
            <w:r>
              <w:rPr>
                <w:color w:val="000000" w:themeColor="text1"/>
                <w:sz w:val="24"/>
              </w:rPr>
              <w:t>82.44</w:t>
            </w:r>
          </w:p>
        </w:tc>
        <w:tc>
          <w:tcPr>
            <w:tcW w:w="763" w:type="pct"/>
            <w:shd w:val="clear" w:color="auto" w:fill="auto"/>
            <w:noWrap/>
            <w:vAlign w:val="center"/>
          </w:tcPr>
          <w:p>
            <w:pPr>
              <w:jc w:val="center"/>
              <w:rPr>
                <w:color w:val="000000" w:themeColor="text1"/>
                <w:sz w:val="24"/>
              </w:rPr>
            </w:pPr>
            <w:r>
              <w:rPr>
                <w:color w:val="000000" w:themeColor="text1"/>
                <w:sz w:val="24"/>
              </w:rPr>
              <w:t>45.56</w:t>
            </w:r>
          </w:p>
        </w:tc>
        <w:tc>
          <w:tcPr>
            <w:tcW w:w="687" w:type="pct"/>
            <w:shd w:val="clear" w:color="auto" w:fill="auto"/>
            <w:noWrap/>
            <w:vAlign w:val="center"/>
          </w:tcPr>
          <w:p>
            <w:pPr>
              <w:jc w:val="center"/>
              <w:rPr>
                <w:color w:val="000000" w:themeColor="text1"/>
                <w:sz w:val="24"/>
              </w:rPr>
            </w:pPr>
            <w:r>
              <w:rPr>
                <w:color w:val="000000" w:themeColor="text1"/>
                <w:sz w:val="24"/>
              </w:rPr>
              <w:t>40</w:t>
            </w:r>
          </w:p>
        </w:tc>
        <w:tc>
          <w:tcPr>
            <w:tcW w:w="821" w:type="pct"/>
            <w:shd w:val="clear" w:color="auto" w:fill="auto"/>
            <w:noWrap/>
            <w:vAlign w:val="center"/>
          </w:tcPr>
          <w:p>
            <w:pPr>
              <w:jc w:val="center"/>
              <w:rPr>
                <w:color w:val="000000" w:themeColor="text1"/>
                <w:sz w:val="24"/>
              </w:rPr>
            </w:pPr>
            <w:r>
              <w:rPr>
                <w:color w:val="000000" w:themeColor="text1"/>
                <w:sz w:val="24"/>
              </w:rPr>
              <w:t>92.22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814" w:type="pct"/>
            <w:shd w:val="clear" w:color="auto" w:fill="auto"/>
            <w:noWrap/>
            <w:vAlign w:val="center"/>
          </w:tcPr>
          <w:p>
            <w:pPr>
              <w:jc w:val="center"/>
              <w:rPr>
                <w:color w:val="000000" w:themeColor="text1"/>
                <w:sz w:val="24"/>
              </w:rPr>
            </w:pPr>
            <w:r>
              <w:rPr>
                <w:rFonts w:hAnsi="宋体"/>
                <w:color w:val="000000" w:themeColor="text1"/>
                <w:sz w:val="24"/>
              </w:rPr>
              <w:t>芋头添加</w:t>
            </w:r>
            <w:r>
              <w:rPr>
                <w:rFonts w:hint="eastAsia"/>
                <w:color w:val="000000" w:themeColor="text1"/>
                <w:sz w:val="24"/>
              </w:rPr>
              <w:t>0. 5ml</w:t>
            </w:r>
            <w:r>
              <w:rPr>
                <w:rFonts w:hint="eastAsia" w:hAnsi="宋体"/>
                <w:color w:val="000000" w:themeColor="text1"/>
                <w:sz w:val="24"/>
              </w:rPr>
              <w:t>标准溶液</w:t>
            </w:r>
          </w:p>
        </w:tc>
        <w:tc>
          <w:tcPr>
            <w:tcW w:w="916" w:type="pct"/>
            <w:shd w:val="clear" w:color="auto" w:fill="auto"/>
            <w:noWrap/>
            <w:vAlign w:val="center"/>
          </w:tcPr>
          <w:p>
            <w:pPr>
              <w:jc w:val="center"/>
              <w:rPr>
                <w:color w:val="000000" w:themeColor="text1"/>
                <w:sz w:val="24"/>
              </w:rPr>
            </w:pPr>
            <w:r>
              <w:rPr>
                <w:color w:val="000000" w:themeColor="text1"/>
                <w:sz w:val="24"/>
              </w:rPr>
              <w:t>44.19</w:t>
            </w:r>
          </w:p>
        </w:tc>
        <w:tc>
          <w:tcPr>
            <w:tcW w:w="763" w:type="pct"/>
            <w:shd w:val="clear" w:color="auto" w:fill="auto"/>
            <w:noWrap/>
            <w:vAlign w:val="center"/>
          </w:tcPr>
          <w:p>
            <w:pPr>
              <w:jc w:val="center"/>
              <w:rPr>
                <w:color w:val="000000" w:themeColor="text1"/>
                <w:sz w:val="24"/>
              </w:rPr>
            </w:pPr>
            <w:r>
              <w:rPr>
                <w:color w:val="000000" w:themeColor="text1"/>
                <w:sz w:val="24"/>
              </w:rPr>
              <w:t>34.42</w:t>
            </w:r>
          </w:p>
        </w:tc>
        <w:tc>
          <w:tcPr>
            <w:tcW w:w="687" w:type="pct"/>
            <w:shd w:val="clear" w:color="auto" w:fill="auto"/>
            <w:noWrap/>
            <w:vAlign w:val="center"/>
          </w:tcPr>
          <w:p>
            <w:pPr>
              <w:jc w:val="center"/>
              <w:rPr>
                <w:color w:val="000000" w:themeColor="text1"/>
                <w:sz w:val="24"/>
              </w:rPr>
            </w:pPr>
            <w:r>
              <w:rPr>
                <w:color w:val="000000" w:themeColor="text1"/>
                <w:sz w:val="24"/>
              </w:rPr>
              <w:t>10</w:t>
            </w:r>
          </w:p>
        </w:tc>
        <w:tc>
          <w:tcPr>
            <w:tcW w:w="821" w:type="pct"/>
            <w:shd w:val="clear" w:color="auto" w:fill="auto"/>
            <w:noWrap/>
            <w:vAlign w:val="center"/>
          </w:tcPr>
          <w:p>
            <w:pPr>
              <w:jc w:val="center"/>
              <w:rPr>
                <w:color w:val="000000" w:themeColor="text1"/>
                <w:sz w:val="24"/>
              </w:rPr>
            </w:pPr>
            <w:r>
              <w:rPr>
                <w:color w:val="000000" w:themeColor="text1"/>
                <w:sz w:val="24"/>
              </w:rPr>
              <w:t>97.78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814" w:type="pct"/>
            <w:shd w:val="clear" w:color="auto" w:fill="auto"/>
            <w:noWrap/>
            <w:vAlign w:val="center"/>
          </w:tcPr>
          <w:p>
            <w:pPr>
              <w:jc w:val="center"/>
              <w:rPr>
                <w:color w:val="000000" w:themeColor="text1"/>
                <w:sz w:val="24"/>
              </w:rPr>
            </w:pPr>
            <w:r>
              <w:rPr>
                <w:rFonts w:hAnsi="宋体"/>
                <w:color w:val="000000" w:themeColor="text1"/>
                <w:sz w:val="24"/>
              </w:rPr>
              <w:t>芋头添加</w:t>
            </w:r>
            <w:r>
              <w:rPr>
                <w:rFonts w:hint="eastAsia"/>
                <w:color w:val="000000" w:themeColor="text1"/>
                <w:sz w:val="24"/>
              </w:rPr>
              <w:t>1ml</w:t>
            </w:r>
            <w:r>
              <w:rPr>
                <w:rFonts w:hint="eastAsia" w:hAnsi="宋体"/>
                <w:color w:val="000000" w:themeColor="text1"/>
                <w:sz w:val="24"/>
              </w:rPr>
              <w:t>标准溶液</w:t>
            </w:r>
          </w:p>
        </w:tc>
        <w:tc>
          <w:tcPr>
            <w:tcW w:w="916" w:type="pct"/>
            <w:shd w:val="clear" w:color="auto" w:fill="auto"/>
            <w:noWrap/>
            <w:vAlign w:val="center"/>
          </w:tcPr>
          <w:p>
            <w:pPr>
              <w:jc w:val="center"/>
              <w:rPr>
                <w:color w:val="000000" w:themeColor="text1"/>
                <w:sz w:val="24"/>
              </w:rPr>
            </w:pPr>
            <w:r>
              <w:rPr>
                <w:color w:val="000000" w:themeColor="text1"/>
                <w:sz w:val="24"/>
              </w:rPr>
              <w:t>55.81</w:t>
            </w:r>
          </w:p>
        </w:tc>
        <w:tc>
          <w:tcPr>
            <w:tcW w:w="763" w:type="pct"/>
            <w:shd w:val="clear" w:color="auto" w:fill="auto"/>
            <w:noWrap/>
            <w:vAlign w:val="center"/>
          </w:tcPr>
          <w:p>
            <w:pPr>
              <w:jc w:val="center"/>
              <w:rPr>
                <w:color w:val="000000" w:themeColor="text1"/>
                <w:sz w:val="24"/>
              </w:rPr>
            </w:pPr>
            <w:r>
              <w:rPr>
                <w:color w:val="000000" w:themeColor="text1"/>
                <w:sz w:val="24"/>
              </w:rPr>
              <w:t>34.42</w:t>
            </w:r>
          </w:p>
        </w:tc>
        <w:tc>
          <w:tcPr>
            <w:tcW w:w="687" w:type="pct"/>
            <w:shd w:val="clear" w:color="auto" w:fill="auto"/>
            <w:noWrap/>
            <w:vAlign w:val="center"/>
          </w:tcPr>
          <w:p>
            <w:pPr>
              <w:jc w:val="center"/>
              <w:rPr>
                <w:color w:val="000000" w:themeColor="text1"/>
                <w:sz w:val="24"/>
              </w:rPr>
            </w:pPr>
            <w:r>
              <w:rPr>
                <w:color w:val="000000" w:themeColor="text1"/>
                <w:sz w:val="24"/>
              </w:rPr>
              <w:t>20</w:t>
            </w:r>
          </w:p>
        </w:tc>
        <w:tc>
          <w:tcPr>
            <w:tcW w:w="821" w:type="pct"/>
            <w:shd w:val="clear" w:color="auto" w:fill="auto"/>
            <w:noWrap/>
            <w:vAlign w:val="center"/>
          </w:tcPr>
          <w:p>
            <w:pPr>
              <w:jc w:val="center"/>
              <w:rPr>
                <w:color w:val="000000" w:themeColor="text1"/>
                <w:sz w:val="24"/>
              </w:rPr>
            </w:pPr>
            <w:r>
              <w:rPr>
                <w:color w:val="000000" w:themeColor="text1"/>
                <w:sz w:val="24"/>
              </w:rPr>
              <w:t>106.94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814" w:type="pct"/>
            <w:shd w:val="clear" w:color="auto" w:fill="auto"/>
            <w:noWrap/>
            <w:vAlign w:val="center"/>
          </w:tcPr>
          <w:p>
            <w:pPr>
              <w:jc w:val="center"/>
              <w:rPr>
                <w:color w:val="000000" w:themeColor="text1"/>
                <w:sz w:val="24"/>
              </w:rPr>
            </w:pPr>
            <w:r>
              <w:rPr>
                <w:rFonts w:hAnsi="宋体"/>
                <w:color w:val="000000" w:themeColor="text1"/>
                <w:sz w:val="24"/>
              </w:rPr>
              <w:t>芋头添加</w:t>
            </w:r>
            <w:r>
              <w:rPr>
                <w:rFonts w:hint="eastAsia"/>
                <w:color w:val="000000" w:themeColor="text1"/>
                <w:sz w:val="24"/>
              </w:rPr>
              <w:t>2ml</w:t>
            </w:r>
            <w:r>
              <w:rPr>
                <w:rFonts w:hint="eastAsia" w:hAnsi="宋体"/>
                <w:color w:val="000000" w:themeColor="text1"/>
                <w:sz w:val="24"/>
              </w:rPr>
              <w:t>标准溶液</w:t>
            </w:r>
          </w:p>
        </w:tc>
        <w:tc>
          <w:tcPr>
            <w:tcW w:w="916" w:type="pct"/>
            <w:shd w:val="clear" w:color="auto" w:fill="auto"/>
            <w:noWrap/>
            <w:vAlign w:val="center"/>
          </w:tcPr>
          <w:p>
            <w:pPr>
              <w:jc w:val="center"/>
              <w:rPr>
                <w:color w:val="000000" w:themeColor="text1"/>
                <w:sz w:val="24"/>
              </w:rPr>
            </w:pPr>
            <w:r>
              <w:rPr>
                <w:color w:val="000000" w:themeColor="text1"/>
                <w:sz w:val="24"/>
              </w:rPr>
              <w:t>77.19</w:t>
            </w:r>
          </w:p>
        </w:tc>
        <w:tc>
          <w:tcPr>
            <w:tcW w:w="763" w:type="pct"/>
            <w:shd w:val="clear" w:color="auto" w:fill="auto"/>
            <w:noWrap/>
            <w:vAlign w:val="center"/>
          </w:tcPr>
          <w:p>
            <w:pPr>
              <w:jc w:val="center"/>
              <w:rPr>
                <w:color w:val="000000" w:themeColor="text1"/>
                <w:sz w:val="24"/>
              </w:rPr>
            </w:pPr>
            <w:r>
              <w:rPr>
                <w:color w:val="000000" w:themeColor="text1"/>
                <w:sz w:val="24"/>
              </w:rPr>
              <w:t>34.42</w:t>
            </w:r>
          </w:p>
        </w:tc>
        <w:tc>
          <w:tcPr>
            <w:tcW w:w="687" w:type="pct"/>
            <w:shd w:val="clear" w:color="auto" w:fill="auto"/>
            <w:noWrap/>
            <w:vAlign w:val="center"/>
          </w:tcPr>
          <w:p>
            <w:pPr>
              <w:jc w:val="center"/>
              <w:rPr>
                <w:color w:val="000000" w:themeColor="text1"/>
                <w:sz w:val="24"/>
              </w:rPr>
            </w:pPr>
            <w:r>
              <w:rPr>
                <w:color w:val="000000" w:themeColor="text1"/>
                <w:sz w:val="24"/>
              </w:rPr>
              <w:t>40</w:t>
            </w:r>
          </w:p>
        </w:tc>
        <w:tc>
          <w:tcPr>
            <w:tcW w:w="821" w:type="pct"/>
            <w:shd w:val="clear" w:color="auto" w:fill="auto"/>
            <w:noWrap/>
            <w:vAlign w:val="center"/>
          </w:tcPr>
          <w:p>
            <w:pPr>
              <w:jc w:val="center"/>
              <w:rPr>
                <w:color w:val="000000" w:themeColor="text1"/>
                <w:sz w:val="24"/>
              </w:rPr>
            </w:pPr>
            <w:r>
              <w:rPr>
                <w:color w:val="000000" w:themeColor="text1"/>
                <w:sz w:val="24"/>
              </w:rPr>
              <w:t>106.94</w:t>
            </w:r>
          </w:p>
        </w:tc>
      </w:tr>
    </w:tbl>
    <w:p>
      <w:pPr>
        <w:autoSpaceDE w:val="0"/>
        <w:autoSpaceDN w:val="0"/>
        <w:spacing w:line="360" w:lineRule="auto"/>
        <w:ind w:firstLine="405"/>
        <w:jc w:val="center"/>
        <w:rPr>
          <w:rFonts w:hint="eastAsia" w:ascii="仿宋_GB2312" w:hAnsi="宋体" w:eastAsia="仿宋_GB2312"/>
          <w:color w:val="000000" w:themeColor="text1"/>
          <w:sz w:val="28"/>
          <w:szCs w:val="28"/>
        </w:rPr>
      </w:pPr>
    </w:p>
    <w:p>
      <w:pPr>
        <w:autoSpaceDE w:val="0"/>
        <w:autoSpaceDN w:val="0"/>
        <w:spacing w:line="360" w:lineRule="auto"/>
        <w:ind w:firstLine="405"/>
        <w:jc w:val="center"/>
        <w:rPr>
          <w:rFonts w:ascii="仿宋_GB2312" w:eastAsia="仿宋_GB2312"/>
          <w:color w:val="000000" w:themeColor="text1"/>
          <w:sz w:val="28"/>
          <w:szCs w:val="28"/>
        </w:rPr>
      </w:pPr>
      <w:r>
        <w:rPr>
          <w:rFonts w:hint="eastAsia" w:ascii="仿宋_GB2312" w:hAnsi="宋体" w:eastAsia="仿宋_GB2312"/>
          <w:color w:val="000000" w:themeColor="text1"/>
          <w:sz w:val="28"/>
          <w:szCs w:val="28"/>
        </w:rPr>
        <w:t>表</w:t>
      </w:r>
      <w:r>
        <w:rPr>
          <w:rFonts w:hint="eastAsia" w:ascii="仿宋_GB2312" w:eastAsia="仿宋_GB2312"/>
          <w:color w:val="000000" w:themeColor="text1"/>
          <w:sz w:val="28"/>
          <w:szCs w:val="28"/>
        </w:rPr>
        <w:t xml:space="preserve">10 </w:t>
      </w:r>
      <w:r>
        <w:rPr>
          <w:rFonts w:hint="eastAsia" w:ascii="仿宋_GB2312" w:hAnsi="宋体" w:eastAsia="仿宋_GB2312"/>
          <w:color w:val="000000" w:themeColor="text1"/>
          <w:sz w:val="28"/>
          <w:szCs w:val="28"/>
        </w:rPr>
        <w:t>直链淀粉回收率</w:t>
      </w:r>
    </w:p>
    <w:tbl>
      <w:tblPr>
        <w:tblStyle w:val="10"/>
        <w:tblW w:w="5000" w:type="pct"/>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3086"/>
        <w:gridCol w:w="1986"/>
        <w:gridCol w:w="1560"/>
        <w:gridCol w:w="1276"/>
        <w:gridCol w:w="138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trPr>
        <w:tc>
          <w:tcPr>
            <w:tcW w:w="1661" w:type="pct"/>
            <w:shd w:val="clear" w:color="auto" w:fill="auto"/>
            <w:noWrap/>
            <w:vAlign w:val="center"/>
          </w:tcPr>
          <w:p>
            <w:pPr>
              <w:jc w:val="center"/>
              <w:rPr>
                <w:color w:val="000000" w:themeColor="text1"/>
                <w:sz w:val="24"/>
              </w:rPr>
            </w:pPr>
            <w:r>
              <w:rPr>
                <w:rFonts w:hAnsi="宋体"/>
                <w:color w:val="000000" w:themeColor="text1"/>
                <w:sz w:val="24"/>
              </w:rPr>
              <w:t>样品名称</w:t>
            </w:r>
          </w:p>
        </w:tc>
        <w:tc>
          <w:tcPr>
            <w:tcW w:w="1069" w:type="pct"/>
            <w:shd w:val="clear" w:color="auto" w:fill="auto"/>
            <w:noWrap/>
            <w:vAlign w:val="center"/>
          </w:tcPr>
          <w:p>
            <w:pPr>
              <w:jc w:val="center"/>
              <w:rPr>
                <w:color w:val="000000" w:themeColor="text1"/>
                <w:sz w:val="24"/>
              </w:rPr>
            </w:pPr>
            <w:r>
              <w:rPr>
                <w:rFonts w:hAnsi="宋体"/>
                <w:color w:val="000000" w:themeColor="text1"/>
                <w:sz w:val="24"/>
              </w:rPr>
              <w:t>添加后测得浓度</w:t>
            </w:r>
            <w:r>
              <w:rPr>
                <w:color w:val="000000" w:themeColor="text1"/>
                <w:sz w:val="24"/>
              </w:rPr>
              <w:t>(mg/L)</w:t>
            </w:r>
          </w:p>
        </w:tc>
        <w:tc>
          <w:tcPr>
            <w:tcW w:w="840" w:type="pct"/>
            <w:shd w:val="clear" w:color="auto" w:fill="auto"/>
            <w:noWrap/>
            <w:vAlign w:val="center"/>
          </w:tcPr>
          <w:p>
            <w:pPr>
              <w:jc w:val="center"/>
              <w:rPr>
                <w:color w:val="000000" w:themeColor="text1"/>
                <w:sz w:val="24"/>
              </w:rPr>
            </w:pPr>
            <w:r>
              <w:rPr>
                <w:rFonts w:hAnsi="宋体"/>
                <w:color w:val="000000" w:themeColor="text1"/>
                <w:sz w:val="24"/>
              </w:rPr>
              <w:t>原溶液浓度</w:t>
            </w:r>
            <w:r>
              <w:rPr>
                <w:color w:val="000000" w:themeColor="text1"/>
                <w:sz w:val="24"/>
              </w:rPr>
              <w:t>(mg/L)</w:t>
            </w:r>
          </w:p>
        </w:tc>
        <w:tc>
          <w:tcPr>
            <w:tcW w:w="687" w:type="pct"/>
            <w:shd w:val="clear" w:color="auto" w:fill="auto"/>
            <w:noWrap/>
            <w:vAlign w:val="center"/>
          </w:tcPr>
          <w:p>
            <w:pPr>
              <w:jc w:val="center"/>
              <w:rPr>
                <w:color w:val="000000" w:themeColor="text1"/>
                <w:sz w:val="24"/>
              </w:rPr>
            </w:pPr>
            <w:r>
              <w:rPr>
                <w:rFonts w:hAnsi="宋体"/>
                <w:color w:val="000000" w:themeColor="text1"/>
                <w:sz w:val="24"/>
              </w:rPr>
              <w:t>添加浓度</w:t>
            </w:r>
            <w:r>
              <w:rPr>
                <w:color w:val="000000" w:themeColor="text1"/>
                <w:sz w:val="24"/>
              </w:rPr>
              <w:t>(mg/L)</w:t>
            </w:r>
          </w:p>
        </w:tc>
        <w:tc>
          <w:tcPr>
            <w:tcW w:w="744" w:type="pct"/>
            <w:shd w:val="clear" w:color="auto" w:fill="auto"/>
            <w:noWrap/>
            <w:vAlign w:val="center"/>
          </w:tcPr>
          <w:p>
            <w:pPr>
              <w:jc w:val="center"/>
              <w:rPr>
                <w:color w:val="000000" w:themeColor="text1"/>
                <w:sz w:val="24"/>
              </w:rPr>
            </w:pPr>
            <w:r>
              <w:rPr>
                <w:rFonts w:hAnsi="宋体"/>
                <w:color w:val="000000" w:themeColor="text1"/>
                <w:sz w:val="24"/>
              </w:rPr>
              <w:t>添加回收率（</w:t>
            </w:r>
            <w:r>
              <w:rPr>
                <w:color w:val="000000" w:themeColor="text1"/>
                <w:sz w:val="24"/>
              </w:rPr>
              <w:t>%</w:t>
            </w:r>
            <w:r>
              <w:rPr>
                <w:rFonts w:hAnsi="宋体"/>
                <w:color w:val="000000" w:themeColor="text1"/>
                <w:sz w:val="24"/>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1661" w:type="pct"/>
            <w:shd w:val="clear" w:color="auto" w:fill="auto"/>
            <w:noWrap/>
            <w:vAlign w:val="center"/>
          </w:tcPr>
          <w:p>
            <w:pPr>
              <w:jc w:val="center"/>
              <w:rPr>
                <w:color w:val="000000" w:themeColor="text1"/>
                <w:sz w:val="24"/>
              </w:rPr>
            </w:pPr>
            <w:r>
              <w:rPr>
                <w:rFonts w:hAnsi="宋体"/>
                <w:color w:val="000000" w:themeColor="text1"/>
                <w:sz w:val="24"/>
              </w:rPr>
              <w:t>红薯添加</w:t>
            </w:r>
            <w:r>
              <w:rPr>
                <w:rFonts w:hint="eastAsia"/>
                <w:color w:val="000000" w:themeColor="text1"/>
                <w:sz w:val="24"/>
              </w:rPr>
              <w:t>0.25ml</w:t>
            </w:r>
            <w:r>
              <w:rPr>
                <w:rFonts w:hint="eastAsia" w:hAnsi="宋体"/>
                <w:color w:val="000000" w:themeColor="text1"/>
                <w:sz w:val="24"/>
              </w:rPr>
              <w:t>标准溶液</w:t>
            </w:r>
          </w:p>
        </w:tc>
        <w:tc>
          <w:tcPr>
            <w:tcW w:w="1069" w:type="pct"/>
            <w:shd w:val="clear" w:color="auto" w:fill="auto"/>
            <w:noWrap/>
            <w:vAlign w:val="center"/>
          </w:tcPr>
          <w:p>
            <w:pPr>
              <w:jc w:val="center"/>
              <w:rPr>
                <w:color w:val="000000" w:themeColor="text1"/>
                <w:sz w:val="24"/>
              </w:rPr>
            </w:pPr>
            <w:r>
              <w:rPr>
                <w:color w:val="000000" w:themeColor="text1"/>
                <w:sz w:val="24"/>
              </w:rPr>
              <w:t>5.58</w:t>
            </w:r>
          </w:p>
        </w:tc>
        <w:tc>
          <w:tcPr>
            <w:tcW w:w="840" w:type="pct"/>
            <w:shd w:val="clear" w:color="auto" w:fill="auto"/>
            <w:noWrap/>
            <w:vAlign w:val="center"/>
          </w:tcPr>
          <w:p>
            <w:pPr>
              <w:jc w:val="center"/>
              <w:rPr>
                <w:color w:val="000000" w:themeColor="text1"/>
                <w:sz w:val="24"/>
              </w:rPr>
            </w:pPr>
            <w:r>
              <w:rPr>
                <w:color w:val="000000" w:themeColor="text1"/>
                <w:sz w:val="24"/>
              </w:rPr>
              <w:t>0.77</w:t>
            </w:r>
          </w:p>
        </w:tc>
        <w:tc>
          <w:tcPr>
            <w:tcW w:w="687" w:type="pct"/>
            <w:shd w:val="clear" w:color="auto" w:fill="auto"/>
            <w:noWrap/>
            <w:vAlign w:val="center"/>
          </w:tcPr>
          <w:p>
            <w:pPr>
              <w:jc w:val="center"/>
              <w:rPr>
                <w:color w:val="000000" w:themeColor="text1"/>
                <w:sz w:val="24"/>
              </w:rPr>
            </w:pPr>
            <w:r>
              <w:rPr>
                <w:color w:val="000000" w:themeColor="text1"/>
                <w:sz w:val="24"/>
              </w:rPr>
              <w:t>5</w:t>
            </w:r>
          </w:p>
        </w:tc>
        <w:tc>
          <w:tcPr>
            <w:tcW w:w="744" w:type="pct"/>
            <w:shd w:val="clear" w:color="auto" w:fill="auto"/>
            <w:noWrap/>
            <w:vAlign w:val="center"/>
          </w:tcPr>
          <w:p>
            <w:pPr>
              <w:jc w:val="center"/>
              <w:rPr>
                <w:color w:val="000000" w:themeColor="text1"/>
                <w:sz w:val="24"/>
              </w:rPr>
            </w:pPr>
            <w:r>
              <w:rPr>
                <w:color w:val="000000" w:themeColor="text1"/>
                <w:sz w:val="24"/>
              </w:rPr>
              <w:t>96.20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1661" w:type="pct"/>
            <w:shd w:val="clear" w:color="auto" w:fill="auto"/>
            <w:noWrap/>
            <w:vAlign w:val="center"/>
          </w:tcPr>
          <w:p>
            <w:pPr>
              <w:jc w:val="center"/>
              <w:rPr>
                <w:color w:val="000000" w:themeColor="text1"/>
                <w:sz w:val="24"/>
              </w:rPr>
            </w:pPr>
            <w:r>
              <w:rPr>
                <w:rFonts w:hAnsi="宋体"/>
                <w:color w:val="000000" w:themeColor="text1"/>
                <w:sz w:val="24"/>
              </w:rPr>
              <w:t>红薯添加</w:t>
            </w:r>
            <w:r>
              <w:rPr>
                <w:color w:val="000000" w:themeColor="text1"/>
                <w:sz w:val="24"/>
              </w:rPr>
              <w:t>0.5</w:t>
            </w:r>
            <w:r>
              <w:rPr>
                <w:rFonts w:hint="eastAsia"/>
                <w:color w:val="000000" w:themeColor="text1"/>
                <w:sz w:val="24"/>
              </w:rPr>
              <w:t>ml</w:t>
            </w:r>
            <w:r>
              <w:rPr>
                <w:rFonts w:hint="eastAsia" w:hAnsi="宋体"/>
                <w:color w:val="000000" w:themeColor="text1"/>
                <w:sz w:val="24"/>
              </w:rPr>
              <w:t>标准溶液</w:t>
            </w:r>
          </w:p>
        </w:tc>
        <w:tc>
          <w:tcPr>
            <w:tcW w:w="1069" w:type="pct"/>
            <w:shd w:val="clear" w:color="auto" w:fill="auto"/>
            <w:noWrap/>
            <w:vAlign w:val="center"/>
          </w:tcPr>
          <w:p>
            <w:pPr>
              <w:jc w:val="center"/>
              <w:rPr>
                <w:color w:val="000000" w:themeColor="text1"/>
                <w:sz w:val="24"/>
              </w:rPr>
            </w:pPr>
            <w:r>
              <w:rPr>
                <w:color w:val="000000" w:themeColor="text1"/>
                <w:sz w:val="24"/>
              </w:rPr>
              <w:t>9.79</w:t>
            </w:r>
          </w:p>
        </w:tc>
        <w:tc>
          <w:tcPr>
            <w:tcW w:w="840" w:type="pct"/>
            <w:shd w:val="clear" w:color="auto" w:fill="auto"/>
            <w:noWrap/>
            <w:vAlign w:val="center"/>
          </w:tcPr>
          <w:p>
            <w:pPr>
              <w:jc w:val="center"/>
              <w:rPr>
                <w:color w:val="000000" w:themeColor="text1"/>
                <w:sz w:val="24"/>
              </w:rPr>
            </w:pPr>
            <w:r>
              <w:rPr>
                <w:color w:val="000000" w:themeColor="text1"/>
                <w:sz w:val="24"/>
              </w:rPr>
              <w:t>0.77</w:t>
            </w:r>
          </w:p>
        </w:tc>
        <w:tc>
          <w:tcPr>
            <w:tcW w:w="687" w:type="pct"/>
            <w:shd w:val="clear" w:color="auto" w:fill="auto"/>
            <w:noWrap/>
            <w:vAlign w:val="center"/>
          </w:tcPr>
          <w:p>
            <w:pPr>
              <w:jc w:val="center"/>
              <w:rPr>
                <w:color w:val="000000" w:themeColor="text1"/>
                <w:sz w:val="24"/>
              </w:rPr>
            </w:pPr>
            <w:r>
              <w:rPr>
                <w:color w:val="000000" w:themeColor="text1"/>
                <w:sz w:val="24"/>
              </w:rPr>
              <w:t>10</w:t>
            </w:r>
          </w:p>
        </w:tc>
        <w:tc>
          <w:tcPr>
            <w:tcW w:w="744" w:type="pct"/>
            <w:shd w:val="clear" w:color="auto" w:fill="auto"/>
            <w:noWrap/>
            <w:vAlign w:val="center"/>
          </w:tcPr>
          <w:p>
            <w:pPr>
              <w:jc w:val="center"/>
              <w:rPr>
                <w:color w:val="000000" w:themeColor="text1"/>
                <w:sz w:val="24"/>
              </w:rPr>
            </w:pPr>
            <w:r>
              <w:rPr>
                <w:color w:val="000000" w:themeColor="text1"/>
                <w:sz w:val="24"/>
              </w:rPr>
              <w:t>90.20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1661" w:type="pct"/>
            <w:shd w:val="clear" w:color="auto" w:fill="auto"/>
            <w:noWrap/>
            <w:vAlign w:val="center"/>
          </w:tcPr>
          <w:p>
            <w:pPr>
              <w:jc w:val="center"/>
              <w:rPr>
                <w:color w:val="000000" w:themeColor="text1"/>
                <w:sz w:val="24"/>
              </w:rPr>
            </w:pPr>
            <w:r>
              <w:rPr>
                <w:rFonts w:hAnsi="宋体"/>
                <w:color w:val="000000" w:themeColor="text1"/>
                <w:sz w:val="24"/>
              </w:rPr>
              <w:t>红薯添加</w:t>
            </w:r>
            <w:r>
              <w:rPr>
                <w:color w:val="000000" w:themeColor="text1"/>
                <w:sz w:val="24"/>
              </w:rPr>
              <w:t>0.</w:t>
            </w:r>
            <w:r>
              <w:rPr>
                <w:rFonts w:hint="eastAsia"/>
                <w:color w:val="000000" w:themeColor="text1"/>
                <w:sz w:val="24"/>
              </w:rPr>
              <w:t>75ml</w:t>
            </w:r>
            <w:r>
              <w:rPr>
                <w:rFonts w:hint="eastAsia" w:hAnsi="宋体"/>
                <w:color w:val="000000" w:themeColor="text1"/>
                <w:sz w:val="24"/>
              </w:rPr>
              <w:t>标准溶液</w:t>
            </w:r>
          </w:p>
        </w:tc>
        <w:tc>
          <w:tcPr>
            <w:tcW w:w="1069" w:type="pct"/>
            <w:shd w:val="clear" w:color="auto" w:fill="auto"/>
            <w:noWrap/>
            <w:vAlign w:val="center"/>
          </w:tcPr>
          <w:p>
            <w:pPr>
              <w:jc w:val="center"/>
              <w:rPr>
                <w:color w:val="000000" w:themeColor="text1"/>
                <w:sz w:val="24"/>
              </w:rPr>
            </w:pPr>
            <w:r>
              <w:rPr>
                <w:color w:val="000000" w:themeColor="text1"/>
                <w:sz w:val="24"/>
              </w:rPr>
              <w:t>14.35</w:t>
            </w:r>
          </w:p>
        </w:tc>
        <w:tc>
          <w:tcPr>
            <w:tcW w:w="840" w:type="pct"/>
            <w:shd w:val="clear" w:color="auto" w:fill="auto"/>
            <w:noWrap/>
            <w:vAlign w:val="center"/>
          </w:tcPr>
          <w:p>
            <w:pPr>
              <w:jc w:val="center"/>
              <w:rPr>
                <w:color w:val="000000" w:themeColor="text1"/>
                <w:sz w:val="24"/>
              </w:rPr>
            </w:pPr>
            <w:r>
              <w:rPr>
                <w:color w:val="000000" w:themeColor="text1"/>
                <w:sz w:val="24"/>
              </w:rPr>
              <w:t>0.77</w:t>
            </w:r>
          </w:p>
        </w:tc>
        <w:tc>
          <w:tcPr>
            <w:tcW w:w="687" w:type="pct"/>
            <w:shd w:val="clear" w:color="auto" w:fill="auto"/>
            <w:noWrap/>
            <w:vAlign w:val="center"/>
          </w:tcPr>
          <w:p>
            <w:pPr>
              <w:jc w:val="center"/>
              <w:rPr>
                <w:color w:val="000000" w:themeColor="text1"/>
                <w:sz w:val="24"/>
              </w:rPr>
            </w:pPr>
            <w:r>
              <w:rPr>
                <w:color w:val="000000" w:themeColor="text1"/>
                <w:sz w:val="24"/>
              </w:rPr>
              <w:t>15</w:t>
            </w:r>
          </w:p>
        </w:tc>
        <w:tc>
          <w:tcPr>
            <w:tcW w:w="744" w:type="pct"/>
            <w:shd w:val="clear" w:color="auto" w:fill="auto"/>
            <w:noWrap/>
            <w:vAlign w:val="center"/>
          </w:tcPr>
          <w:p>
            <w:pPr>
              <w:jc w:val="center"/>
              <w:rPr>
                <w:color w:val="000000" w:themeColor="text1"/>
                <w:sz w:val="24"/>
              </w:rPr>
            </w:pPr>
            <w:r>
              <w:rPr>
                <w:color w:val="000000" w:themeColor="text1"/>
                <w:sz w:val="24"/>
              </w:rPr>
              <w:t>90.53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1661" w:type="pct"/>
            <w:shd w:val="clear" w:color="auto" w:fill="auto"/>
            <w:noWrap/>
            <w:vAlign w:val="center"/>
          </w:tcPr>
          <w:p>
            <w:pPr>
              <w:jc w:val="center"/>
              <w:rPr>
                <w:color w:val="000000" w:themeColor="text1"/>
                <w:sz w:val="24"/>
              </w:rPr>
            </w:pPr>
            <w:r>
              <w:rPr>
                <w:rFonts w:hAnsi="宋体"/>
                <w:color w:val="000000" w:themeColor="text1"/>
                <w:sz w:val="24"/>
              </w:rPr>
              <w:t>木薯添加</w:t>
            </w:r>
            <w:r>
              <w:rPr>
                <w:rFonts w:hint="eastAsia"/>
                <w:color w:val="000000" w:themeColor="text1"/>
                <w:sz w:val="24"/>
              </w:rPr>
              <w:t>0.25ml</w:t>
            </w:r>
            <w:r>
              <w:rPr>
                <w:rFonts w:hint="eastAsia" w:hAnsi="宋体"/>
                <w:color w:val="000000" w:themeColor="text1"/>
                <w:sz w:val="24"/>
              </w:rPr>
              <w:t>标准溶液</w:t>
            </w:r>
          </w:p>
        </w:tc>
        <w:tc>
          <w:tcPr>
            <w:tcW w:w="1069" w:type="pct"/>
            <w:shd w:val="clear" w:color="auto" w:fill="auto"/>
            <w:noWrap/>
            <w:vAlign w:val="center"/>
          </w:tcPr>
          <w:p>
            <w:pPr>
              <w:jc w:val="center"/>
              <w:rPr>
                <w:color w:val="000000" w:themeColor="text1"/>
                <w:sz w:val="24"/>
              </w:rPr>
            </w:pPr>
            <w:r>
              <w:rPr>
                <w:color w:val="000000" w:themeColor="text1"/>
                <w:sz w:val="24"/>
              </w:rPr>
              <w:t>11.27</w:t>
            </w:r>
          </w:p>
        </w:tc>
        <w:tc>
          <w:tcPr>
            <w:tcW w:w="840" w:type="pct"/>
            <w:shd w:val="clear" w:color="auto" w:fill="auto"/>
            <w:noWrap/>
            <w:vAlign w:val="center"/>
          </w:tcPr>
          <w:p>
            <w:pPr>
              <w:jc w:val="center"/>
              <w:rPr>
                <w:color w:val="000000" w:themeColor="text1"/>
                <w:sz w:val="24"/>
              </w:rPr>
            </w:pPr>
            <w:r>
              <w:rPr>
                <w:color w:val="000000" w:themeColor="text1"/>
                <w:sz w:val="24"/>
              </w:rPr>
              <w:t>6.6</w:t>
            </w:r>
          </w:p>
        </w:tc>
        <w:tc>
          <w:tcPr>
            <w:tcW w:w="687" w:type="pct"/>
            <w:shd w:val="clear" w:color="auto" w:fill="auto"/>
            <w:noWrap/>
            <w:vAlign w:val="center"/>
          </w:tcPr>
          <w:p>
            <w:pPr>
              <w:jc w:val="center"/>
              <w:rPr>
                <w:color w:val="000000" w:themeColor="text1"/>
                <w:sz w:val="24"/>
              </w:rPr>
            </w:pPr>
            <w:r>
              <w:rPr>
                <w:color w:val="000000" w:themeColor="text1"/>
                <w:sz w:val="24"/>
              </w:rPr>
              <w:t>5</w:t>
            </w:r>
          </w:p>
        </w:tc>
        <w:tc>
          <w:tcPr>
            <w:tcW w:w="744" w:type="pct"/>
            <w:shd w:val="clear" w:color="auto" w:fill="auto"/>
            <w:noWrap/>
            <w:vAlign w:val="center"/>
          </w:tcPr>
          <w:p>
            <w:pPr>
              <w:jc w:val="center"/>
              <w:rPr>
                <w:color w:val="000000" w:themeColor="text1"/>
                <w:sz w:val="24"/>
              </w:rPr>
            </w:pPr>
            <w:r>
              <w:rPr>
                <w:color w:val="000000" w:themeColor="text1"/>
                <w:sz w:val="24"/>
              </w:rPr>
              <w:t>93.40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1661" w:type="pct"/>
            <w:shd w:val="clear" w:color="auto" w:fill="auto"/>
            <w:noWrap/>
            <w:vAlign w:val="center"/>
          </w:tcPr>
          <w:p>
            <w:pPr>
              <w:jc w:val="center"/>
              <w:rPr>
                <w:color w:val="000000" w:themeColor="text1"/>
                <w:sz w:val="24"/>
              </w:rPr>
            </w:pPr>
            <w:r>
              <w:rPr>
                <w:rFonts w:hAnsi="宋体"/>
                <w:color w:val="000000" w:themeColor="text1"/>
                <w:sz w:val="24"/>
              </w:rPr>
              <w:t>木薯添加</w:t>
            </w:r>
            <w:r>
              <w:rPr>
                <w:color w:val="000000" w:themeColor="text1"/>
                <w:sz w:val="24"/>
              </w:rPr>
              <w:t>0.5</w:t>
            </w:r>
            <w:r>
              <w:rPr>
                <w:rFonts w:hint="eastAsia"/>
                <w:color w:val="000000" w:themeColor="text1"/>
                <w:sz w:val="24"/>
              </w:rPr>
              <w:t>ml</w:t>
            </w:r>
            <w:r>
              <w:rPr>
                <w:rFonts w:hint="eastAsia" w:hAnsi="宋体"/>
                <w:color w:val="000000" w:themeColor="text1"/>
                <w:sz w:val="24"/>
              </w:rPr>
              <w:t>标准溶液</w:t>
            </w:r>
          </w:p>
        </w:tc>
        <w:tc>
          <w:tcPr>
            <w:tcW w:w="1069" w:type="pct"/>
            <w:shd w:val="clear" w:color="auto" w:fill="auto"/>
            <w:noWrap/>
            <w:vAlign w:val="center"/>
          </w:tcPr>
          <w:p>
            <w:pPr>
              <w:jc w:val="center"/>
              <w:rPr>
                <w:color w:val="000000" w:themeColor="text1"/>
                <w:sz w:val="24"/>
              </w:rPr>
            </w:pPr>
            <w:r>
              <w:rPr>
                <w:color w:val="000000" w:themeColor="text1"/>
                <w:sz w:val="24"/>
              </w:rPr>
              <w:t>15.6</w:t>
            </w:r>
          </w:p>
        </w:tc>
        <w:tc>
          <w:tcPr>
            <w:tcW w:w="840" w:type="pct"/>
            <w:shd w:val="clear" w:color="auto" w:fill="auto"/>
            <w:noWrap/>
            <w:vAlign w:val="center"/>
          </w:tcPr>
          <w:p>
            <w:pPr>
              <w:jc w:val="center"/>
              <w:rPr>
                <w:color w:val="000000" w:themeColor="text1"/>
                <w:sz w:val="24"/>
              </w:rPr>
            </w:pPr>
            <w:r>
              <w:rPr>
                <w:color w:val="000000" w:themeColor="text1"/>
                <w:sz w:val="24"/>
              </w:rPr>
              <w:t>6.6</w:t>
            </w:r>
          </w:p>
        </w:tc>
        <w:tc>
          <w:tcPr>
            <w:tcW w:w="687" w:type="pct"/>
            <w:shd w:val="clear" w:color="auto" w:fill="auto"/>
            <w:noWrap/>
            <w:vAlign w:val="center"/>
          </w:tcPr>
          <w:p>
            <w:pPr>
              <w:jc w:val="center"/>
              <w:rPr>
                <w:color w:val="000000" w:themeColor="text1"/>
                <w:sz w:val="24"/>
              </w:rPr>
            </w:pPr>
            <w:r>
              <w:rPr>
                <w:color w:val="000000" w:themeColor="text1"/>
                <w:sz w:val="24"/>
              </w:rPr>
              <w:t>10</w:t>
            </w:r>
          </w:p>
        </w:tc>
        <w:tc>
          <w:tcPr>
            <w:tcW w:w="744" w:type="pct"/>
            <w:shd w:val="clear" w:color="auto" w:fill="auto"/>
            <w:noWrap/>
            <w:vAlign w:val="center"/>
          </w:tcPr>
          <w:p>
            <w:pPr>
              <w:jc w:val="center"/>
              <w:rPr>
                <w:color w:val="000000" w:themeColor="text1"/>
                <w:sz w:val="24"/>
              </w:rPr>
            </w:pPr>
            <w:r>
              <w:rPr>
                <w:color w:val="000000" w:themeColor="text1"/>
                <w:sz w:val="24"/>
              </w:rPr>
              <w:t>90.00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1661" w:type="pct"/>
            <w:shd w:val="clear" w:color="auto" w:fill="auto"/>
            <w:noWrap/>
            <w:vAlign w:val="center"/>
          </w:tcPr>
          <w:p>
            <w:pPr>
              <w:jc w:val="center"/>
              <w:rPr>
                <w:color w:val="000000" w:themeColor="text1"/>
                <w:sz w:val="24"/>
              </w:rPr>
            </w:pPr>
            <w:r>
              <w:rPr>
                <w:rFonts w:hAnsi="宋体"/>
                <w:color w:val="000000" w:themeColor="text1"/>
                <w:sz w:val="24"/>
              </w:rPr>
              <w:t>木薯添加</w:t>
            </w:r>
            <w:r>
              <w:rPr>
                <w:color w:val="000000" w:themeColor="text1"/>
                <w:sz w:val="24"/>
              </w:rPr>
              <w:t>0.</w:t>
            </w:r>
            <w:r>
              <w:rPr>
                <w:rFonts w:hint="eastAsia"/>
                <w:color w:val="000000" w:themeColor="text1"/>
                <w:sz w:val="24"/>
              </w:rPr>
              <w:t>75ml</w:t>
            </w:r>
            <w:r>
              <w:rPr>
                <w:rFonts w:hint="eastAsia" w:hAnsi="宋体"/>
                <w:color w:val="000000" w:themeColor="text1"/>
                <w:sz w:val="24"/>
              </w:rPr>
              <w:t>标准溶液</w:t>
            </w:r>
          </w:p>
        </w:tc>
        <w:tc>
          <w:tcPr>
            <w:tcW w:w="1069" w:type="pct"/>
            <w:shd w:val="clear" w:color="auto" w:fill="auto"/>
            <w:noWrap/>
            <w:vAlign w:val="center"/>
          </w:tcPr>
          <w:p>
            <w:pPr>
              <w:jc w:val="center"/>
              <w:rPr>
                <w:color w:val="000000" w:themeColor="text1"/>
                <w:sz w:val="24"/>
              </w:rPr>
            </w:pPr>
            <w:r>
              <w:rPr>
                <w:color w:val="000000" w:themeColor="text1"/>
                <w:sz w:val="24"/>
              </w:rPr>
              <w:t>20.46</w:t>
            </w:r>
          </w:p>
        </w:tc>
        <w:tc>
          <w:tcPr>
            <w:tcW w:w="840" w:type="pct"/>
            <w:shd w:val="clear" w:color="auto" w:fill="auto"/>
            <w:noWrap/>
            <w:vAlign w:val="center"/>
          </w:tcPr>
          <w:p>
            <w:pPr>
              <w:jc w:val="center"/>
              <w:rPr>
                <w:color w:val="000000" w:themeColor="text1"/>
                <w:sz w:val="24"/>
              </w:rPr>
            </w:pPr>
            <w:r>
              <w:rPr>
                <w:color w:val="000000" w:themeColor="text1"/>
                <w:sz w:val="24"/>
              </w:rPr>
              <w:t>6.6</w:t>
            </w:r>
          </w:p>
        </w:tc>
        <w:tc>
          <w:tcPr>
            <w:tcW w:w="687" w:type="pct"/>
            <w:shd w:val="clear" w:color="auto" w:fill="auto"/>
            <w:noWrap/>
            <w:vAlign w:val="center"/>
          </w:tcPr>
          <w:p>
            <w:pPr>
              <w:jc w:val="center"/>
              <w:rPr>
                <w:color w:val="000000" w:themeColor="text1"/>
                <w:sz w:val="24"/>
              </w:rPr>
            </w:pPr>
            <w:r>
              <w:rPr>
                <w:color w:val="000000" w:themeColor="text1"/>
                <w:sz w:val="24"/>
              </w:rPr>
              <w:t>15</w:t>
            </w:r>
          </w:p>
        </w:tc>
        <w:tc>
          <w:tcPr>
            <w:tcW w:w="744" w:type="pct"/>
            <w:shd w:val="clear" w:color="auto" w:fill="auto"/>
            <w:noWrap/>
            <w:vAlign w:val="center"/>
          </w:tcPr>
          <w:p>
            <w:pPr>
              <w:jc w:val="center"/>
              <w:rPr>
                <w:color w:val="000000" w:themeColor="text1"/>
                <w:sz w:val="24"/>
              </w:rPr>
            </w:pPr>
            <w:r>
              <w:rPr>
                <w:color w:val="000000" w:themeColor="text1"/>
                <w:sz w:val="24"/>
              </w:rPr>
              <w:t>92.40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1661" w:type="pct"/>
            <w:shd w:val="clear" w:color="auto" w:fill="auto"/>
            <w:noWrap/>
            <w:vAlign w:val="center"/>
          </w:tcPr>
          <w:p>
            <w:pPr>
              <w:jc w:val="center"/>
              <w:rPr>
                <w:color w:val="000000" w:themeColor="text1"/>
                <w:sz w:val="24"/>
              </w:rPr>
            </w:pPr>
            <w:r>
              <w:rPr>
                <w:rFonts w:hAnsi="宋体"/>
                <w:color w:val="000000" w:themeColor="text1"/>
                <w:sz w:val="24"/>
              </w:rPr>
              <w:t>淮山添加</w:t>
            </w:r>
            <w:r>
              <w:rPr>
                <w:rFonts w:hint="eastAsia"/>
                <w:color w:val="000000" w:themeColor="text1"/>
                <w:sz w:val="24"/>
              </w:rPr>
              <w:t>0.25ml</w:t>
            </w:r>
            <w:r>
              <w:rPr>
                <w:rFonts w:hint="eastAsia" w:hAnsi="宋体"/>
                <w:color w:val="000000" w:themeColor="text1"/>
                <w:sz w:val="24"/>
              </w:rPr>
              <w:t>标准溶液</w:t>
            </w:r>
          </w:p>
        </w:tc>
        <w:tc>
          <w:tcPr>
            <w:tcW w:w="1069" w:type="pct"/>
            <w:shd w:val="clear" w:color="auto" w:fill="auto"/>
            <w:noWrap/>
            <w:vAlign w:val="center"/>
          </w:tcPr>
          <w:p>
            <w:pPr>
              <w:jc w:val="center"/>
              <w:rPr>
                <w:color w:val="000000" w:themeColor="text1"/>
                <w:sz w:val="24"/>
              </w:rPr>
            </w:pPr>
            <w:r>
              <w:rPr>
                <w:color w:val="000000" w:themeColor="text1"/>
                <w:sz w:val="24"/>
              </w:rPr>
              <w:t>13.95</w:t>
            </w:r>
          </w:p>
        </w:tc>
        <w:tc>
          <w:tcPr>
            <w:tcW w:w="840" w:type="pct"/>
            <w:shd w:val="clear" w:color="auto" w:fill="auto"/>
            <w:noWrap/>
            <w:vAlign w:val="center"/>
          </w:tcPr>
          <w:p>
            <w:pPr>
              <w:jc w:val="center"/>
              <w:rPr>
                <w:color w:val="000000" w:themeColor="text1"/>
                <w:sz w:val="24"/>
              </w:rPr>
            </w:pPr>
            <w:r>
              <w:rPr>
                <w:color w:val="000000" w:themeColor="text1"/>
                <w:sz w:val="24"/>
              </w:rPr>
              <w:t>9.41</w:t>
            </w:r>
          </w:p>
        </w:tc>
        <w:tc>
          <w:tcPr>
            <w:tcW w:w="687" w:type="pct"/>
            <w:shd w:val="clear" w:color="auto" w:fill="auto"/>
            <w:noWrap/>
            <w:vAlign w:val="center"/>
          </w:tcPr>
          <w:p>
            <w:pPr>
              <w:jc w:val="center"/>
              <w:rPr>
                <w:color w:val="000000" w:themeColor="text1"/>
                <w:sz w:val="24"/>
              </w:rPr>
            </w:pPr>
            <w:r>
              <w:rPr>
                <w:color w:val="000000" w:themeColor="text1"/>
                <w:sz w:val="24"/>
              </w:rPr>
              <w:t>5</w:t>
            </w:r>
          </w:p>
        </w:tc>
        <w:tc>
          <w:tcPr>
            <w:tcW w:w="744" w:type="pct"/>
            <w:shd w:val="clear" w:color="auto" w:fill="auto"/>
            <w:noWrap/>
            <w:vAlign w:val="center"/>
          </w:tcPr>
          <w:p>
            <w:pPr>
              <w:jc w:val="center"/>
              <w:rPr>
                <w:color w:val="000000" w:themeColor="text1"/>
                <w:sz w:val="24"/>
              </w:rPr>
            </w:pPr>
            <w:r>
              <w:rPr>
                <w:color w:val="000000" w:themeColor="text1"/>
                <w:sz w:val="24"/>
              </w:rPr>
              <w:t>90.80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1661" w:type="pct"/>
            <w:shd w:val="clear" w:color="auto" w:fill="auto"/>
            <w:noWrap/>
            <w:vAlign w:val="center"/>
          </w:tcPr>
          <w:p>
            <w:pPr>
              <w:jc w:val="center"/>
              <w:rPr>
                <w:color w:val="000000" w:themeColor="text1"/>
                <w:sz w:val="24"/>
              </w:rPr>
            </w:pPr>
            <w:r>
              <w:rPr>
                <w:rFonts w:hAnsi="宋体"/>
                <w:color w:val="000000" w:themeColor="text1"/>
                <w:sz w:val="24"/>
              </w:rPr>
              <w:t>淮山添加</w:t>
            </w:r>
            <w:r>
              <w:rPr>
                <w:color w:val="000000" w:themeColor="text1"/>
                <w:sz w:val="24"/>
              </w:rPr>
              <w:t>0.5</w:t>
            </w:r>
            <w:r>
              <w:rPr>
                <w:rFonts w:hint="eastAsia"/>
                <w:color w:val="000000" w:themeColor="text1"/>
                <w:sz w:val="24"/>
              </w:rPr>
              <w:t>ml</w:t>
            </w:r>
            <w:r>
              <w:rPr>
                <w:rFonts w:hint="eastAsia" w:hAnsi="宋体"/>
                <w:color w:val="000000" w:themeColor="text1"/>
                <w:sz w:val="24"/>
              </w:rPr>
              <w:t>标准溶液</w:t>
            </w:r>
          </w:p>
        </w:tc>
        <w:tc>
          <w:tcPr>
            <w:tcW w:w="1069" w:type="pct"/>
            <w:shd w:val="clear" w:color="auto" w:fill="auto"/>
            <w:noWrap/>
            <w:vAlign w:val="center"/>
          </w:tcPr>
          <w:p>
            <w:pPr>
              <w:jc w:val="center"/>
              <w:rPr>
                <w:color w:val="000000" w:themeColor="text1"/>
                <w:sz w:val="24"/>
              </w:rPr>
            </w:pPr>
            <w:r>
              <w:rPr>
                <w:color w:val="000000" w:themeColor="text1"/>
                <w:sz w:val="24"/>
              </w:rPr>
              <w:t>18.46</w:t>
            </w:r>
          </w:p>
        </w:tc>
        <w:tc>
          <w:tcPr>
            <w:tcW w:w="840" w:type="pct"/>
            <w:shd w:val="clear" w:color="auto" w:fill="auto"/>
            <w:noWrap/>
            <w:vAlign w:val="center"/>
          </w:tcPr>
          <w:p>
            <w:pPr>
              <w:jc w:val="center"/>
              <w:rPr>
                <w:color w:val="000000" w:themeColor="text1"/>
                <w:sz w:val="24"/>
              </w:rPr>
            </w:pPr>
            <w:r>
              <w:rPr>
                <w:color w:val="000000" w:themeColor="text1"/>
                <w:sz w:val="24"/>
              </w:rPr>
              <w:t>9.41</w:t>
            </w:r>
          </w:p>
        </w:tc>
        <w:tc>
          <w:tcPr>
            <w:tcW w:w="687" w:type="pct"/>
            <w:shd w:val="clear" w:color="auto" w:fill="auto"/>
            <w:noWrap/>
            <w:vAlign w:val="center"/>
          </w:tcPr>
          <w:p>
            <w:pPr>
              <w:jc w:val="center"/>
              <w:rPr>
                <w:color w:val="000000" w:themeColor="text1"/>
                <w:sz w:val="24"/>
              </w:rPr>
            </w:pPr>
            <w:r>
              <w:rPr>
                <w:color w:val="000000" w:themeColor="text1"/>
                <w:sz w:val="24"/>
              </w:rPr>
              <w:t>10</w:t>
            </w:r>
          </w:p>
        </w:tc>
        <w:tc>
          <w:tcPr>
            <w:tcW w:w="744" w:type="pct"/>
            <w:shd w:val="clear" w:color="auto" w:fill="auto"/>
            <w:noWrap/>
            <w:vAlign w:val="center"/>
          </w:tcPr>
          <w:p>
            <w:pPr>
              <w:jc w:val="center"/>
              <w:rPr>
                <w:color w:val="000000" w:themeColor="text1"/>
                <w:sz w:val="24"/>
              </w:rPr>
            </w:pPr>
            <w:r>
              <w:rPr>
                <w:color w:val="000000" w:themeColor="text1"/>
                <w:sz w:val="24"/>
              </w:rPr>
              <w:t>90.50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1661" w:type="pct"/>
            <w:shd w:val="clear" w:color="auto" w:fill="auto"/>
            <w:noWrap/>
            <w:vAlign w:val="center"/>
          </w:tcPr>
          <w:p>
            <w:pPr>
              <w:jc w:val="center"/>
              <w:rPr>
                <w:color w:val="000000" w:themeColor="text1"/>
                <w:sz w:val="24"/>
              </w:rPr>
            </w:pPr>
            <w:r>
              <w:rPr>
                <w:rFonts w:hAnsi="宋体"/>
                <w:color w:val="000000" w:themeColor="text1"/>
                <w:sz w:val="24"/>
              </w:rPr>
              <w:t>淮山添加</w:t>
            </w:r>
            <w:r>
              <w:rPr>
                <w:color w:val="000000" w:themeColor="text1"/>
                <w:sz w:val="24"/>
              </w:rPr>
              <w:t>0.</w:t>
            </w:r>
            <w:r>
              <w:rPr>
                <w:rFonts w:hint="eastAsia"/>
                <w:color w:val="000000" w:themeColor="text1"/>
                <w:sz w:val="24"/>
              </w:rPr>
              <w:t>75ml</w:t>
            </w:r>
            <w:r>
              <w:rPr>
                <w:rFonts w:hint="eastAsia" w:hAnsi="宋体"/>
                <w:color w:val="000000" w:themeColor="text1"/>
                <w:sz w:val="24"/>
              </w:rPr>
              <w:t>标准溶液</w:t>
            </w:r>
          </w:p>
        </w:tc>
        <w:tc>
          <w:tcPr>
            <w:tcW w:w="1069" w:type="pct"/>
            <w:shd w:val="clear" w:color="auto" w:fill="auto"/>
            <w:noWrap/>
            <w:vAlign w:val="center"/>
          </w:tcPr>
          <w:p>
            <w:pPr>
              <w:jc w:val="center"/>
              <w:rPr>
                <w:color w:val="000000" w:themeColor="text1"/>
                <w:sz w:val="24"/>
              </w:rPr>
            </w:pPr>
            <w:r>
              <w:rPr>
                <w:color w:val="000000" w:themeColor="text1"/>
                <w:sz w:val="24"/>
              </w:rPr>
              <w:t>23.2</w:t>
            </w:r>
          </w:p>
        </w:tc>
        <w:tc>
          <w:tcPr>
            <w:tcW w:w="840" w:type="pct"/>
            <w:shd w:val="clear" w:color="auto" w:fill="auto"/>
            <w:noWrap/>
            <w:vAlign w:val="center"/>
          </w:tcPr>
          <w:p>
            <w:pPr>
              <w:jc w:val="center"/>
              <w:rPr>
                <w:color w:val="000000" w:themeColor="text1"/>
                <w:sz w:val="24"/>
              </w:rPr>
            </w:pPr>
            <w:r>
              <w:rPr>
                <w:color w:val="000000" w:themeColor="text1"/>
                <w:sz w:val="24"/>
              </w:rPr>
              <w:t>9.41</w:t>
            </w:r>
          </w:p>
        </w:tc>
        <w:tc>
          <w:tcPr>
            <w:tcW w:w="687" w:type="pct"/>
            <w:shd w:val="clear" w:color="auto" w:fill="auto"/>
            <w:noWrap/>
            <w:vAlign w:val="center"/>
          </w:tcPr>
          <w:p>
            <w:pPr>
              <w:jc w:val="center"/>
              <w:rPr>
                <w:color w:val="000000" w:themeColor="text1"/>
                <w:sz w:val="24"/>
              </w:rPr>
            </w:pPr>
            <w:r>
              <w:rPr>
                <w:color w:val="000000" w:themeColor="text1"/>
                <w:sz w:val="24"/>
              </w:rPr>
              <w:t>15</w:t>
            </w:r>
          </w:p>
        </w:tc>
        <w:tc>
          <w:tcPr>
            <w:tcW w:w="744" w:type="pct"/>
            <w:shd w:val="clear" w:color="auto" w:fill="auto"/>
            <w:noWrap/>
            <w:vAlign w:val="center"/>
          </w:tcPr>
          <w:p>
            <w:pPr>
              <w:jc w:val="center"/>
              <w:rPr>
                <w:color w:val="000000" w:themeColor="text1"/>
                <w:sz w:val="24"/>
              </w:rPr>
            </w:pPr>
            <w:r>
              <w:rPr>
                <w:color w:val="000000" w:themeColor="text1"/>
                <w:sz w:val="24"/>
              </w:rPr>
              <w:t>91.93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1661" w:type="pct"/>
            <w:shd w:val="clear" w:color="auto" w:fill="auto"/>
            <w:noWrap/>
            <w:vAlign w:val="center"/>
          </w:tcPr>
          <w:p>
            <w:pPr>
              <w:jc w:val="center"/>
              <w:rPr>
                <w:color w:val="000000" w:themeColor="text1"/>
                <w:sz w:val="24"/>
              </w:rPr>
            </w:pPr>
            <w:r>
              <w:rPr>
                <w:rFonts w:hAnsi="宋体"/>
                <w:color w:val="000000" w:themeColor="text1"/>
                <w:sz w:val="24"/>
              </w:rPr>
              <w:t>土豆添加</w:t>
            </w:r>
            <w:r>
              <w:rPr>
                <w:rFonts w:hint="eastAsia"/>
                <w:color w:val="000000" w:themeColor="text1"/>
                <w:sz w:val="24"/>
              </w:rPr>
              <w:t>0.25ml</w:t>
            </w:r>
            <w:r>
              <w:rPr>
                <w:rFonts w:hint="eastAsia" w:hAnsi="宋体"/>
                <w:color w:val="000000" w:themeColor="text1"/>
                <w:sz w:val="24"/>
              </w:rPr>
              <w:t>标准溶液</w:t>
            </w:r>
          </w:p>
        </w:tc>
        <w:tc>
          <w:tcPr>
            <w:tcW w:w="1069" w:type="pct"/>
            <w:shd w:val="clear" w:color="auto" w:fill="auto"/>
            <w:noWrap/>
            <w:vAlign w:val="center"/>
          </w:tcPr>
          <w:p>
            <w:pPr>
              <w:jc w:val="center"/>
              <w:rPr>
                <w:color w:val="000000" w:themeColor="text1"/>
                <w:sz w:val="24"/>
              </w:rPr>
            </w:pPr>
            <w:r>
              <w:rPr>
                <w:color w:val="000000" w:themeColor="text1"/>
                <w:sz w:val="24"/>
              </w:rPr>
              <w:t>14.93</w:t>
            </w:r>
          </w:p>
        </w:tc>
        <w:tc>
          <w:tcPr>
            <w:tcW w:w="840" w:type="pct"/>
            <w:shd w:val="clear" w:color="auto" w:fill="auto"/>
            <w:noWrap/>
            <w:vAlign w:val="center"/>
          </w:tcPr>
          <w:p>
            <w:pPr>
              <w:jc w:val="center"/>
              <w:rPr>
                <w:color w:val="000000" w:themeColor="text1"/>
                <w:sz w:val="24"/>
              </w:rPr>
            </w:pPr>
            <w:r>
              <w:rPr>
                <w:color w:val="000000" w:themeColor="text1"/>
                <w:sz w:val="24"/>
              </w:rPr>
              <w:t>10.2</w:t>
            </w:r>
            <w:r>
              <w:rPr>
                <w:rFonts w:hint="eastAsia"/>
                <w:color w:val="000000" w:themeColor="text1"/>
                <w:sz w:val="24"/>
              </w:rPr>
              <w:t>0</w:t>
            </w:r>
          </w:p>
        </w:tc>
        <w:tc>
          <w:tcPr>
            <w:tcW w:w="687" w:type="pct"/>
            <w:shd w:val="clear" w:color="auto" w:fill="auto"/>
            <w:noWrap/>
            <w:vAlign w:val="center"/>
          </w:tcPr>
          <w:p>
            <w:pPr>
              <w:jc w:val="center"/>
              <w:rPr>
                <w:color w:val="000000" w:themeColor="text1"/>
                <w:sz w:val="24"/>
              </w:rPr>
            </w:pPr>
            <w:r>
              <w:rPr>
                <w:color w:val="000000" w:themeColor="text1"/>
                <w:sz w:val="24"/>
              </w:rPr>
              <w:t>5</w:t>
            </w:r>
          </w:p>
        </w:tc>
        <w:tc>
          <w:tcPr>
            <w:tcW w:w="744" w:type="pct"/>
            <w:shd w:val="clear" w:color="auto" w:fill="auto"/>
            <w:noWrap/>
            <w:vAlign w:val="center"/>
          </w:tcPr>
          <w:p>
            <w:pPr>
              <w:jc w:val="center"/>
              <w:rPr>
                <w:color w:val="000000" w:themeColor="text1"/>
                <w:sz w:val="24"/>
              </w:rPr>
            </w:pPr>
            <w:r>
              <w:rPr>
                <w:color w:val="000000" w:themeColor="text1"/>
                <w:sz w:val="24"/>
              </w:rPr>
              <w:t>94.60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1661" w:type="pct"/>
            <w:shd w:val="clear" w:color="auto" w:fill="auto"/>
            <w:noWrap/>
            <w:vAlign w:val="center"/>
          </w:tcPr>
          <w:p>
            <w:pPr>
              <w:jc w:val="center"/>
              <w:rPr>
                <w:color w:val="000000" w:themeColor="text1"/>
                <w:sz w:val="24"/>
              </w:rPr>
            </w:pPr>
            <w:r>
              <w:rPr>
                <w:rFonts w:hAnsi="宋体"/>
                <w:color w:val="000000" w:themeColor="text1"/>
                <w:sz w:val="24"/>
              </w:rPr>
              <w:t>土豆添加</w:t>
            </w:r>
            <w:r>
              <w:rPr>
                <w:rFonts w:hint="eastAsia"/>
                <w:color w:val="000000" w:themeColor="text1"/>
                <w:sz w:val="24"/>
              </w:rPr>
              <w:t>0.5ml</w:t>
            </w:r>
            <w:r>
              <w:rPr>
                <w:rFonts w:hint="eastAsia" w:hAnsi="宋体"/>
                <w:color w:val="000000" w:themeColor="text1"/>
                <w:sz w:val="24"/>
              </w:rPr>
              <w:t>标准溶液</w:t>
            </w:r>
          </w:p>
        </w:tc>
        <w:tc>
          <w:tcPr>
            <w:tcW w:w="1069" w:type="pct"/>
            <w:shd w:val="clear" w:color="auto" w:fill="auto"/>
            <w:noWrap/>
            <w:vAlign w:val="center"/>
          </w:tcPr>
          <w:p>
            <w:pPr>
              <w:jc w:val="center"/>
              <w:rPr>
                <w:color w:val="000000" w:themeColor="text1"/>
                <w:sz w:val="24"/>
              </w:rPr>
            </w:pPr>
            <w:r>
              <w:rPr>
                <w:color w:val="000000" w:themeColor="text1"/>
                <w:sz w:val="24"/>
              </w:rPr>
              <w:t>19.37</w:t>
            </w:r>
          </w:p>
        </w:tc>
        <w:tc>
          <w:tcPr>
            <w:tcW w:w="840" w:type="pct"/>
            <w:shd w:val="clear" w:color="auto" w:fill="auto"/>
            <w:noWrap/>
            <w:vAlign w:val="center"/>
          </w:tcPr>
          <w:p>
            <w:pPr>
              <w:jc w:val="center"/>
              <w:rPr>
                <w:color w:val="000000" w:themeColor="text1"/>
                <w:sz w:val="24"/>
              </w:rPr>
            </w:pPr>
            <w:r>
              <w:rPr>
                <w:color w:val="000000" w:themeColor="text1"/>
                <w:sz w:val="24"/>
              </w:rPr>
              <w:t>10.2</w:t>
            </w:r>
            <w:r>
              <w:rPr>
                <w:rFonts w:hint="eastAsia"/>
                <w:color w:val="000000" w:themeColor="text1"/>
                <w:sz w:val="24"/>
              </w:rPr>
              <w:t>0</w:t>
            </w:r>
          </w:p>
        </w:tc>
        <w:tc>
          <w:tcPr>
            <w:tcW w:w="687" w:type="pct"/>
            <w:shd w:val="clear" w:color="auto" w:fill="auto"/>
            <w:noWrap/>
            <w:vAlign w:val="center"/>
          </w:tcPr>
          <w:p>
            <w:pPr>
              <w:jc w:val="center"/>
              <w:rPr>
                <w:color w:val="000000" w:themeColor="text1"/>
                <w:sz w:val="24"/>
              </w:rPr>
            </w:pPr>
            <w:r>
              <w:rPr>
                <w:color w:val="000000" w:themeColor="text1"/>
                <w:sz w:val="24"/>
              </w:rPr>
              <w:t>10</w:t>
            </w:r>
          </w:p>
        </w:tc>
        <w:tc>
          <w:tcPr>
            <w:tcW w:w="744" w:type="pct"/>
            <w:shd w:val="clear" w:color="auto" w:fill="auto"/>
            <w:noWrap/>
            <w:vAlign w:val="center"/>
          </w:tcPr>
          <w:p>
            <w:pPr>
              <w:jc w:val="center"/>
              <w:rPr>
                <w:color w:val="000000" w:themeColor="text1"/>
                <w:sz w:val="24"/>
              </w:rPr>
            </w:pPr>
            <w:r>
              <w:rPr>
                <w:color w:val="000000" w:themeColor="text1"/>
                <w:sz w:val="24"/>
              </w:rPr>
              <w:t>91.70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1661" w:type="pct"/>
            <w:shd w:val="clear" w:color="auto" w:fill="auto"/>
            <w:noWrap/>
            <w:vAlign w:val="center"/>
          </w:tcPr>
          <w:p>
            <w:pPr>
              <w:jc w:val="center"/>
              <w:rPr>
                <w:color w:val="000000" w:themeColor="text1"/>
                <w:sz w:val="24"/>
              </w:rPr>
            </w:pPr>
            <w:r>
              <w:rPr>
                <w:rFonts w:hAnsi="宋体"/>
                <w:color w:val="000000" w:themeColor="text1"/>
                <w:sz w:val="24"/>
              </w:rPr>
              <w:t>土豆添加</w:t>
            </w:r>
            <w:r>
              <w:rPr>
                <w:rFonts w:hint="eastAsia"/>
                <w:color w:val="000000" w:themeColor="text1"/>
                <w:sz w:val="24"/>
              </w:rPr>
              <w:t>0.75ml</w:t>
            </w:r>
            <w:r>
              <w:rPr>
                <w:rFonts w:hint="eastAsia" w:hAnsi="宋体"/>
                <w:color w:val="000000" w:themeColor="text1"/>
                <w:sz w:val="24"/>
              </w:rPr>
              <w:t>标准溶液</w:t>
            </w:r>
          </w:p>
        </w:tc>
        <w:tc>
          <w:tcPr>
            <w:tcW w:w="1069" w:type="pct"/>
            <w:shd w:val="clear" w:color="auto" w:fill="auto"/>
            <w:noWrap/>
            <w:vAlign w:val="center"/>
          </w:tcPr>
          <w:p>
            <w:pPr>
              <w:jc w:val="center"/>
              <w:rPr>
                <w:color w:val="000000" w:themeColor="text1"/>
                <w:sz w:val="24"/>
              </w:rPr>
            </w:pPr>
            <w:r>
              <w:rPr>
                <w:color w:val="000000" w:themeColor="text1"/>
                <w:sz w:val="24"/>
              </w:rPr>
              <w:t>23.89</w:t>
            </w:r>
          </w:p>
        </w:tc>
        <w:tc>
          <w:tcPr>
            <w:tcW w:w="840" w:type="pct"/>
            <w:shd w:val="clear" w:color="auto" w:fill="auto"/>
            <w:noWrap/>
            <w:vAlign w:val="center"/>
          </w:tcPr>
          <w:p>
            <w:pPr>
              <w:jc w:val="center"/>
              <w:rPr>
                <w:color w:val="000000" w:themeColor="text1"/>
                <w:sz w:val="24"/>
              </w:rPr>
            </w:pPr>
            <w:r>
              <w:rPr>
                <w:color w:val="000000" w:themeColor="text1"/>
                <w:sz w:val="24"/>
              </w:rPr>
              <w:t>10.2</w:t>
            </w:r>
            <w:r>
              <w:rPr>
                <w:rFonts w:hint="eastAsia"/>
                <w:color w:val="000000" w:themeColor="text1"/>
                <w:sz w:val="24"/>
              </w:rPr>
              <w:t>0</w:t>
            </w:r>
          </w:p>
        </w:tc>
        <w:tc>
          <w:tcPr>
            <w:tcW w:w="687" w:type="pct"/>
            <w:shd w:val="clear" w:color="auto" w:fill="auto"/>
            <w:noWrap/>
            <w:vAlign w:val="center"/>
          </w:tcPr>
          <w:p>
            <w:pPr>
              <w:jc w:val="center"/>
              <w:rPr>
                <w:color w:val="000000" w:themeColor="text1"/>
                <w:sz w:val="24"/>
              </w:rPr>
            </w:pPr>
            <w:r>
              <w:rPr>
                <w:color w:val="000000" w:themeColor="text1"/>
                <w:sz w:val="24"/>
              </w:rPr>
              <w:t>15</w:t>
            </w:r>
          </w:p>
        </w:tc>
        <w:tc>
          <w:tcPr>
            <w:tcW w:w="744" w:type="pct"/>
            <w:shd w:val="clear" w:color="auto" w:fill="auto"/>
            <w:noWrap/>
            <w:vAlign w:val="center"/>
          </w:tcPr>
          <w:p>
            <w:pPr>
              <w:jc w:val="center"/>
              <w:rPr>
                <w:color w:val="000000" w:themeColor="text1"/>
                <w:sz w:val="24"/>
              </w:rPr>
            </w:pPr>
            <w:r>
              <w:rPr>
                <w:color w:val="000000" w:themeColor="text1"/>
                <w:sz w:val="24"/>
              </w:rPr>
              <w:t>91.27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1661" w:type="pct"/>
            <w:shd w:val="clear" w:color="auto" w:fill="auto"/>
            <w:noWrap/>
            <w:vAlign w:val="center"/>
          </w:tcPr>
          <w:p>
            <w:pPr>
              <w:jc w:val="center"/>
              <w:rPr>
                <w:color w:val="000000" w:themeColor="text1"/>
                <w:sz w:val="24"/>
              </w:rPr>
            </w:pPr>
            <w:r>
              <w:rPr>
                <w:rFonts w:hAnsi="宋体"/>
                <w:color w:val="000000" w:themeColor="text1"/>
                <w:sz w:val="24"/>
              </w:rPr>
              <w:t>芋头添加</w:t>
            </w:r>
            <w:r>
              <w:rPr>
                <w:rFonts w:hint="eastAsia"/>
                <w:color w:val="000000" w:themeColor="text1"/>
                <w:sz w:val="24"/>
              </w:rPr>
              <w:t>0.25ml</w:t>
            </w:r>
            <w:r>
              <w:rPr>
                <w:rFonts w:hint="eastAsia" w:hAnsi="宋体"/>
                <w:color w:val="000000" w:themeColor="text1"/>
                <w:sz w:val="24"/>
              </w:rPr>
              <w:t>标准溶液</w:t>
            </w:r>
          </w:p>
        </w:tc>
        <w:tc>
          <w:tcPr>
            <w:tcW w:w="1069" w:type="pct"/>
            <w:shd w:val="clear" w:color="auto" w:fill="auto"/>
            <w:noWrap/>
            <w:vAlign w:val="center"/>
          </w:tcPr>
          <w:p>
            <w:pPr>
              <w:jc w:val="center"/>
              <w:rPr>
                <w:color w:val="000000" w:themeColor="text1"/>
                <w:sz w:val="24"/>
              </w:rPr>
            </w:pPr>
            <w:r>
              <w:rPr>
                <w:color w:val="000000" w:themeColor="text1"/>
                <w:sz w:val="24"/>
              </w:rPr>
              <w:t>7.9</w:t>
            </w:r>
            <w:r>
              <w:rPr>
                <w:rFonts w:hint="eastAsia"/>
                <w:color w:val="000000" w:themeColor="text1"/>
                <w:sz w:val="24"/>
              </w:rPr>
              <w:t>0</w:t>
            </w:r>
          </w:p>
        </w:tc>
        <w:tc>
          <w:tcPr>
            <w:tcW w:w="840" w:type="pct"/>
            <w:shd w:val="clear" w:color="auto" w:fill="auto"/>
            <w:noWrap/>
            <w:vAlign w:val="center"/>
          </w:tcPr>
          <w:p>
            <w:pPr>
              <w:jc w:val="center"/>
              <w:rPr>
                <w:color w:val="000000" w:themeColor="text1"/>
                <w:sz w:val="24"/>
              </w:rPr>
            </w:pPr>
            <w:r>
              <w:rPr>
                <w:color w:val="000000" w:themeColor="text1"/>
                <w:sz w:val="24"/>
              </w:rPr>
              <w:t>2.9</w:t>
            </w:r>
            <w:r>
              <w:rPr>
                <w:rFonts w:hint="eastAsia"/>
                <w:color w:val="000000" w:themeColor="text1"/>
                <w:sz w:val="24"/>
              </w:rPr>
              <w:t>0</w:t>
            </w:r>
          </w:p>
        </w:tc>
        <w:tc>
          <w:tcPr>
            <w:tcW w:w="687" w:type="pct"/>
            <w:shd w:val="clear" w:color="auto" w:fill="auto"/>
            <w:noWrap/>
            <w:vAlign w:val="center"/>
          </w:tcPr>
          <w:p>
            <w:pPr>
              <w:jc w:val="center"/>
              <w:rPr>
                <w:color w:val="000000" w:themeColor="text1"/>
                <w:sz w:val="24"/>
              </w:rPr>
            </w:pPr>
            <w:r>
              <w:rPr>
                <w:color w:val="000000" w:themeColor="text1"/>
                <w:sz w:val="24"/>
              </w:rPr>
              <w:t>5</w:t>
            </w:r>
          </w:p>
        </w:tc>
        <w:tc>
          <w:tcPr>
            <w:tcW w:w="744" w:type="pct"/>
            <w:shd w:val="clear" w:color="auto" w:fill="auto"/>
            <w:noWrap/>
            <w:vAlign w:val="center"/>
          </w:tcPr>
          <w:p>
            <w:pPr>
              <w:jc w:val="center"/>
              <w:rPr>
                <w:color w:val="000000" w:themeColor="text1"/>
                <w:sz w:val="24"/>
              </w:rPr>
            </w:pPr>
            <w:r>
              <w:rPr>
                <w:color w:val="000000" w:themeColor="text1"/>
                <w:sz w:val="24"/>
              </w:rPr>
              <w:t>100.00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1661" w:type="pct"/>
            <w:shd w:val="clear" w:color="auto" w:fill="auto"/>
            <w:noWrap/>
            <w:vAlign w:val="center"/>
          </w:tcPr>
          <w:p>
            <w:pPr>
              <w:jc w:val="center"/>
              <w:rPr>
                <w:color w:val="000000" w:themeColor="text1"/>
                <w:sz w:val="24"/>
              </w:rPr>
            </w:pPr>
            <w:r>
              <w:rPr>
                <w:rFonts w:hAnsi="宋体"/>
                <w:color w:val="000000" w:themeColor="text1"/>
                <w:sz w:val="24"/>
              </w:rPr>
              <w:t>芋头添加</w:t>
            </w:r>
            <w:r>
              <w:rPr>
                <w:rFonts w:hint="eastAsia"/>
                <w:color w:val="000000" w:themeColor="text1"/>
                <w:sz w:val="24"/>
              </w:rPr>
              <w:t>0.5ml</w:t>
            </w:r>
            <w:r>
              <w:rPr>
                <w:rFonts w:hint="eastAsia" w:hAnsi="宋体"/>
                <w:color w:val="000000" w:themeColor="text1"/>
                <w:sz w:val="24"/>
              </w:rPr>
              <w:t>标准溶液</w:t>
            </w:r>
          </w:p>
        </w:tc>
        <w:tc>
          <w:tcPr>
            <w:tcW w:w="1069" w:type="pct"/>
            <w:shd w:val="clear" w:color="auto" w:fill="auto"/>
            <w:noWrap/>
            <w:vAlign w:val="center"/>
          </w:tcPr>
          <w:p>
            <w:pPr>
              <w:jc w:val="center"/>
              <w:rPr>
                <w:color w:val="000000" w:themeColor="text1"/>
                <w:sz w:val="24"/>
              </w:rPr>
            </w:pPr>
            <w:r>
              <w:rPr>
                <w:color w:val="000000" w:themeColor="text1"/>
                <w:sz w:val="24"/>
              </w:rPr>
              <w:t>12.17</w:t>
            </w:r>
          </w:p>
        </w:tc>
        <w:tc>
          <w:tcPr>
            <w:tcW w:w="840" w:type="pct"/>
            <w:shd w:val="clear" w:color="auto" w:fill="auto"/>
            <w:noWrap/>
            <w:vAlign w:val="center"/>
          </w:tcPr>
          <w:p>
            <w:pPr>
              <w:jc w:val="center"/>
              <w:rPr>
                <w:color w:val="000000" w:themeColor="text1"/>
                <w:sz w:val="24"/>
              </w:rPr>
            </w:pPr>
            <w:r>
              <w:rPr>
                <w:color w:val="000000" w:themeColor="text1"/>
                <w:sz w:val="24"/>
              </w:rPr>
              <w:t>2.9</w:t>
            </w:r>
            <w:r>
              <w:rPr>
                <w:rFonts w:hint="eastAsia"/>
                <w:color w:val="000000" w:themeColor="text1"/>
                <w:sz w:val="24"/>
              </w:rPr>
              <w:t>0</w:t>
            </w:r>
          </w:p>
        </w:tc>
        <w:tc>
          <w:tcPr>
            <w:tcW w:w="687" w:type="pct"/>
            <w:shd w:val="clear" w:color="auto" w:fill="auto"/>
            <w:noWrap/>
            <w:vAlign w:val="center"/>
          </w:tcPr>
          <w:p>
            <w:pPr>
              <w:jc w:val="center"/>
              <w:rPr>
                <w:color w:val="000000" w:themeColor="text1"/>
                <w:sz w:val="24"/>
              </w:rPr>
            </w:pPr>
            <w:r>
              <w:rPr>
                <w:color w:val="000000" w:themeColor="text1"/>
                <w:sz w:val="24"/>
              </w:rPr>
              <w:t>10</w:t>
            </w:r>
          </w:p>
        </w:tc>
        <w:tc>
          <w:tcPr>
            <w:tcW w:w="744" w:type="pct"/>
            <w:shd w:val="clear" w:color="auto" w:fill="auto"/>
            <w:noWrap/>
            <w:vAlign w:val="center"/>
          </w:tcPr>
          <w:p>
            <w:pPr>
              <w:jc w:val="center"/>
              <w:rPr>
                <w:color w:val="000000" w:themeColor="text1"/>
                <w:sz w:val="24"/>
              </w:rPr>
            </w:pPr>
            <w:r>
              <w:rPr>
                <w:color w:val="000000" w:themeColor="text1"/>
                <w:sz w:val="24"/>
              </w:rPr>
              <w:t>92.70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1661" w:type="pct"/>
            <w:shd w:val="clear" w:color="auto" w:fill="auto"/>
            <w:noWrap/>
            <w:vAlign w:val="center"/>
          </w:tcPr>
          <w:p>
            <w:pPr>
              <w:jc w:val="center"/>
              <w:rPr>
                <w:color w:val="000000" w:themeColor="text1"/>
                <w:sz w:val="24"/>
              </w:rPr>
            </w:pPr>
            <w:r>
              <w:rPr>
                <w:rFonts w:hAnsi="宋体"/>
                <w:color w:val="000000" w:themeColor="text1"/>
                <w:sz w:val="24"/>
              </w:rPr>
              <w:t>芋头添加</w:t>
            </w:r>
            <w:r>
              <w:rPr>
                <w:rFonts w:hint="eastAsia"/>
                <w:color w:val="000000" w:themeColor="text1"/>
                <w:sz w:val="24"/>
              </w:rPr>
              <w:t>0.75ml</w:t>
            </w:r>
            <w:r>
              <w:rPr>
                <w:rFonts w:hint="eastAsia" w:hAnsi="宋体"/>
                <w:color w:val="000000" w:themeColor="text1"/>
                <w:sz w:val="24"/>
              </w:rPr>
              <w:t>标准溶液</w:t>
            </w:r>
          </w:p>
        </w:tc>
        <w:tc>
          <w:tcPr>
            <w:tcW w:w="1069" w:type="pct"/>
            <w:shd w:val="clear" w:color="auto" w:fill="auto"/>
            <w:noWrap/>
            <w:vAlign w:val="center"/>
          </w:tcPr>
          <w:p>
            <w:pPr>
              <w:jc w:val="center"/>
              <w:rPr>
                <w:color w:val="000000" w:themeColor="text1"/>
                <w:sz w:val="24"/>
              </w:rPr>
            </w:pPr>
            <w:r>
              <w:rPr>
                <w:color w:val="000000" w:themeColor="text1"/>
                <w:sz w:val="24"/>
              </w:rPr>
              <w:t>16.51</w:t>
            </w:r>
          </w:p>
        </w:tc>
        <w:tc>
          <w:tcPr>
            <w:tcW w:w="840" w:type="pct"/>
            <w:shd w:val="clear" w:color="auto" w:fill="auto"/>
            <w:noWrap/>
            <w:vAlign w:val="center"/>
          </w:tcPr>
          <w:p>
            <w:pPr>
              <w:jc w:val="center"/>
              <w:rPr>
                <w:color w:val="000000" w:themeColor="text1"/>
                <w:sz w:val="24"/>
              </w:rPr>
            </w:pPr>
            <w:r>
              <w:rPr>
                <w:color w:val="000000" w:themeColor="text1"/>
                <w:sz w:val="24"/>
              </w:rPr>
              <w:t>2.9</w:t>
            </w:r>
            <w:r>
              <w:rPr>
                <w:rFonts w:hint="eastAsia"/>
                <w:color w:val="000000" w:themeColor="text1"/>
                <w:sz w:val="24"/>
              </w:rPr>
              <w:t>0</w:t>
            </w:r>
          </w:p>
        </w:tc>
        <w:tc>
          <w:tcPr>
            <w:tcW w:w="687" w:type="pct"/>
            <w:shd w:val="clear" w:color="auto" w:fill="auto"/>
            <w:noWrap/>
            <w:vAlign w:val="center"/>
          </w:tcPr>
          <w:p>
            <w:pPr>
              <w:jc w:val="center"/>
              <w:rPr>
                <w:color w:val="000000" w:themeColor="text1"/>
                <w:sz w:val="24"/>
              </w:rPr>
            </w:pPr>
            <w:r>
              <w:rPr>
                <w:color w:val="000000" w:themeColor="text1"/>
                <w:sz w:val="24"/>
              </w:rPr>
              <w:t>15</w:t>
            </w:r>
          </w:p>
        </w:tc>
        <w:tc>
          <w:tcPr>
            <w:tcW w:w="744" w:type="pct"/>
            <w:shd w:val="clear" w:color="auto" w:fill="auto"/>
            <w:noWrap/>
            <w:vAlign w:val="center"/>
          </w:tcPr>
          <w:p>
            <w:pPr>
              <w:jc w:val="center"/>
              <w:rPr>
                <w:color w:val="000000" w:themeColor="text1"/>
                <w:sz w:val="24"/>
              </w:rPr>
            </w:pPr>
            <w:r>
              <w:rPr>
                <w:color w:val="000000" w:themeColor="text1"/>
                <w:sz w:val="24"/>
              </w:rPr>
              <w:t>90.73</w:t>
            </w:r>
          </w:p>
        </w:tc>
      </w:tr>
    </w:tbl>
    <w:p>
      <w:pPr>
        <w:pStyle w:val="14"/>
        <w:numPr>
          <w:ilvl w:val="0"/>
          <w:numId w:val="5"/>
        </w:numPr>
        <w:adjustRightInd w:val="0"/>
        <w:snapToGrid w:val="0"/>
        <w:spacing w:beforeLines="50" w:line="360" w:lineRule="auto"/>
        <w:ind w:left="0" w:firstLine="0" w:firstLineChars="0"/>
        <w:outlineLvl w:val="1"/>
        <w:rPr>
          <w:rFonts w:ascii="黑体" w:hAnsi="黑体" w:eastAsia="黑体" w:cs="黑体"/>
          <w:bCs/>
          <w:color w:val="000000" w:themeColor="text1"/>
          <w:sz w:val="32"/>
          <w:szCs w:val="32"/>
          <w:lang w:val="zh-CN"/>
        </w:rPr>
      </w:pPr>
      <w:r>
        <w:rPr>
          <w:rFonts w:hint="eastAsia" w:ascii="黑体" w:hAnsi="黑体" w:eastAsia="黑体" w:cs="黑体"/>
          <w:bCs/>
          <w:color w:val="000000" w:themeColor="text1"/>
          <w:sz w:val="32"/>
          <w:szCs w:val="32"/>
          <w:lang w:val="zh-CN"/>
        </w:rPr>
        <w:t>国内外同类标准制修订情况及与法律法规、强制性标准关系</w:t>
      </w:r>
    </w:p>
    <w:p>
      <w:pPr>
        <w:ind w:firstLine="560" w:firstLineChars="200"/>
        <w:rPr>
          <w:rFonts w:ascii="仿宋_GB2312" w:hAnsi="宋体" w:eastAsia="仿宋_GB2312"/>
          <w:sz w:val="28"/>
          <w:szCs w:val="28"/>
        </w:rPr>
      </w:pPr>
      <w:r>
        <w:rPr>
          <w:rFonts w:ascii="仿宋_GB2312" w:hAnsi="宋体" w:eastAsia="仿宋_GB2312"/>
          <w:sz w:val="28"/>
          <w:szCs w:val="28"/>
        </w:rPr>
        <w:t>经查阅</w:t>
      </w:r>
      <w:r>
        <w:rPr>
          <w:rFonts w:ascii="仿宋_GB2312" w:hAnsi="宋体" w:eastAsia="仿宋_GB2312"/>
          <w:color w:val="000000" w:themeColor="text1"/>
          <w:sz w:val="28"/>
          <w:szCs w:val="28"/>
        </w:rPr>
        <w:t>，与支链</w:t>
      </w:r>
      <w:r>
        <w:rPr>
          <w:rFonts w:ascii="仿宋_GB2312" w:hAnsi="宋体" w:eastAsia="仿宋_GB2312"/>
          <w:sz w:val="28"/>
          <w:szCs w:val="28"/>
        </w:rPr>
        <w:t>直链淀粉含量的测定有关的国家标准、行业标准、广西地方标准和团体标准有《GB5009.9食品安全国家标准食品中淀粉的测定》、《GB/T15683大米直链淀粉含量的测定》、《NY/T2639稻米直链淀粉的测定分光光度法</w:t>
      </w:r>
      <w:r>
        <w:rPr>
          <w:rFonts w:hint="eastAsia" w:ascii="仿宋_GB2312" w:hAnsi="宋体" w:eastAsia="仿宋_GB2312"/>
          <w:sz w:val="28"/>
          <w:szCs w:val="28"/>
          <w:lang w:eastAsia="zh-CN"/>
        </w:rPr>
        <w:t>》</w:t>
      </w:r>
      <w:r>
        <w:rPr>
          <w:rFonts w:ascii="仿宋_GB2312" w:hAnsi="宋体" w:eastAsia="仿宋_GB2312"/>
          <w:sz w:val="28"/>
          <w:szCs w:val="28"/>
        </w:rPr>
        <w:t>、《GB/T20378原淀粉淀粉含量的测定旋光法》、《GB/T25219粮油检验玉米淀粉含量测定近红外法》、《GB/T20194动物饲料中淀粉含量的测定旋光法》。综上，淀粉含量检测主要以直链淀粉含量和总量为主，无法同时检测支链淀粉；且由于薯类与大米的组成成分不同，在分散剂、碘试剂使用量和最大吸收波长等方面都有较大差别，不能作为薯类淀粉含量测定的参考。</w:t>
      </w:r>
      <w:r>
        <w:rPr>
          <w:rFonts w:hint="eastAsia" w:ascii="仿宋_GB2312" w:hAnsi="宋体" w:eastAsia="仿宋_GB2312"/>
          <w:sz w:val="28"/>
          <w:szCs w:val="28"/>
        </w:rPr>
        <w:t>未制定有</w:t>
      </w:r>
      <w:r>
        <w:rPr>
          <w:rFonts w:hint="eastAsia" w:ascii="仿宋_GB2312" w:eastAsia="仿宋_GB2312"/>
          <w:sz w:val="28"/>
          <w:szCs w:val="28"/>
        </w:rPr>
        <w:t>团体标准《</w:t>
      </w:r>
      <w:r>
        <w:rPr>
          <w:rFonts w:hint="eastAsia" w:ascii="仿宋_GB2312" w:hAnsi="宋体" w:eastAsia="仿宋_GB2312"/>
          <w:sz w:val="28"/>
          <w:szCs w:val="28"/>
        </w:rPr>
        <w:t>薯类支链直链淀粉含量的测定  双波长比色法</w:t>
      </w:r>
      <w:r>
        <w:rPr>
          <w:rFonts w:hint="eastAsia" w:ascii="仿宋_GB2312" w:eastAsia="仿宋_GB2312"/>
          <w:sz w:val="28"/>
          <w:szCs w:val="28"/>
        </w:rPr>
        <w:t>》</w:t>
      </w:r>
      <w:r>
        <w:rPr>
          <w:rFonts w:hint="eastAsia" w:ascii="仿宋_GB2312" w:hAnsi="宋体" w:eastAsia="仿宋_GB2312"/>
          <w:sz w:val="28"/>
          <w:szCs w:val="28"/>
        </w:rPr>
        <w:t>。</w:t>
      </w:r>
    </w:p>
    <w:p>
      <w:pPr>
        <w:ind w:firstLine="560" w:firstLineChars="200"/>
        <w:rPr>
          <w:rFonts w:ascii="仿宋_GB2312" w:hAnsi="宋体" w:eastAsia="仿宋_GB2312"/>
          <w:sz w:val="28"/>
          <w:szCs w:val="28"/>
        </w:rPr>
      </w:pPr>
      <w:r>
        <w:rPr>
          <w:rFonts w:hint="eastAsia" w:ascii="仿宋_GB2312" w:hAnsi="宋体" w:eastAsia="仿宋_GB2312"/>
          <w:sz w:val="28"/>
          <w:szCs w:val="28"/>
          <w:lang w:val="zh-CN"/>
        </w:rPr>
        <w:t>本标准的内容与现行的法律、法规及强制性标准无冲突，标准的编写符合</w:t>
      </w:r>
      <w:r>
        <w:rPr>
          <w:rFonts w:hint="eastAsia" w:ascii="仿宋_GB2312" w:hAnsi="宋体" w:eastAsia="仿宋_GB2312"/>
          <w:sz w:val="28"/>
          <w:szCs w:val="28"/>
        </w:rPr>
        <w:t>GB/T 1.1-2020的要求。</w:t>
      </w:r>
    </w:p>
    <w:p>
      <w:pPr>
        <w:pStyle w:val="14"/>
        <w:numPr>
          <w:ilvl w:val="0"/>
          <w:numId w:val="5"/>
        </w:numPr>
        <w:adjustRightInd w:val="0"/>
        <w:snapToGrid w:val="0"/>
        <w:spacing w:beforeLines="50" w:line="360" w:lineRule="auto"/>
        <w:ind w:left="0" w:firstLine="0" w:firstLineChars="0"/>
        <w:outlineLvl w:val="1"/>
        <w:rPr>
          <w:rFonts w:ascii="黑体" w:hAnsi="黑体" w:eastAsia="黑体" w:cs="黑体"/>
          <w:bCs/>
          <w:sz w:val="32"/>
          <w:szCs w:val="32"/>
          <w:lang w:val="zh-CN"/>
        </w:rPr>
      </w:pPr>
      <w:r>
        <w:rPr>
          <w:rFonts w:hint="eastAsia" w:ascii="黑体" w:hAnsi="黑体" w:eastAsia="黑体" w:cs="黑体"/>
          <w:bCs/>
          <w:color w:val="000000" w:themeColor="text1"/>
          <w:sz w:val="32"/>
          <w:szCs w:val="32"/>
          <w:lang w:val="zh-CN"/>
        </w:rPr>
        <w:t>重大分歧意见发处理经过和依据</w:t>
      </w:r>
    </w:p>
    <w:p>
      <w:pPr>
        <w:ind w:firstLine="560" w:firstLineChars="200"/>
        <w:rPr>
          <w:rFonts w:ascii="仿宋_GB2312" w:hAnsi="宋体" w:eastAsia="仿宋_GB2312"/>
          <w:sz w:val="28"/>
          <w:szCs w:val="28"/>
        </w:rPr>
      </w:pPr>
      <w:r>
        <w:rPr>
          <w:rFonts w:hint="eastAsia" w:ascii="仿宋_GB2312" w:hAnsi="宋体" w:eastAsia="仿宋_GB2312"/>
          <w:sz w:val="28"/>
          <w:szCs w:val="28"/>
        </w:rPr>
        <w:t>本标准研制过程中无重大分歧意见。</w:t>
      </w:r>
    </w:p>
    <w:p>
      <w:pPr>
        <w:spacing w:line="520" w:lineRule="exact"/>
        <w:outlineLvl w:val="0"/>
        <w:rPr>
          <w:rFonts w:ascii="仿宋_GB2312" w:hAnsi="宋体" w:eastAsia="仿宋_GB2312"/>
          <w:sz w:val="28"/>
          <w:szCs w:val="28"/>
          <w:lang w:val="zh-CN"/>
        </w:rPr>
      </w:pPr>
    </w:p>
    <w:p>
      <w:pPr>
        <w:spacing w:line="520" w:lineRule="exact"/>
        <w:outlineLvl w:val="0"/>
        <w:rPr>
          <w:rFonts w:ascii="仿宋_GB2312" w:hAnsi="宋体" w:eastAsia="仿宋_GB2312"/>
          <w:sz w:val="28"/>
          <w:szCs w:val="28"/>
          <w:lang w:val="zh-CN"/>
        </w:rPr>
      </w:pPr>
    </w:p>
    <w:p>
      <w:pPr>
        <w:spacing w:line="520" w:lineRule="exact"/>
        <w:jc w:val="right"/>
        <w:outlineLvl w:val="0"/>
        <w:rPr>
          <w:rFonts w:ascii="仿宋_GB2312" w:hAnsi="宋体" w:eastAsia="仿宋_GB2312"/>
          <w:sz w:val="28"/>
          <w:szCs w:val="28"/>
          <w:lang w:val="zh-CN"/>
        </w:rPr>
      </w:pPr>
      <w:r>
        <w:rPr>
          <w:rFonts w:hint="eastAsia" w:ascii="仿宋_GB2312" w:hAnsi="宋体" w:eastAsia="仿宋_GB2312"/>
          <w:sz w:val="28"/>
          <w:szCs w:val="28"/>
          <w:lang w:val="zh-CN"/>
        </w:rPr>
        <w:t>团体标准 《</w:t>
      </w:r>
      <w:r>
        <w:rPr>
          <w:rFonts w:hint="eastAsia" w:ascii="仿宋_GB2312" w:hAnsi="宋体" w:eastAsia="仿宋_GB2312"/>
          <w:sz w:val="28"/>
          <w:szCs w:val="28"/>
        </w:rPr>
        <w:t>薯类支链直链淀粉含量的测定  双波长比色法</w:t>
      </w:r>
      <w:r>
        <w:rPr>
          <w:rFonts w:hint="eastAsia" w:ascii="仿宋_GB2312" w:hAnsi="宋体" w:eastAsia="仿宋_GB2312"/>
          <w:sz w:val="28"/>
          <w:szCs w:val="28"/>
          <w:lang w:val="zh-CN"/>
        </w:rPr>
        <w:t>》</w:t>
      </w:r>
    </w:p>
    <w:p>
      <w:pPr>
        <w:spacing w:line="520" w:lineRule="exact"/>
        <w:ind w:firstLine="4620" w:firstLineChars="1650"/>
        <w:rPr>
          <w:rFonts w:ascii="仿宋_GB2312" w:hAnsi="宋体" w:eastAsia="仿宋_GB2312"/>
          <w:sz w:val="28"/>
          <w:szCs w:val="28"/>
          <w:lang w:val="zh-CN"/>
        </w:rPr>
      </w:pPr>
      <w:r>
        <w:rPr>
          <w:rFonts w:hint="eastAsia" w:ascii="仿宋_GB2312" w:hAnsi="宋体" w:eastAsia="仿宋_GB2312"/>
          <w:sz w:val="28"/>
          <w:szCs w:val="28"/>
          <w:lang w:val="zh-CN"/>
        </w:rPr>
        <w:t>标准编制小组</w:t>
      </w:r>
    </w:p>
    <w:p>
      <w:pPr>
        <w:spacing w:line="520" w:lineRule="exact"/>
        <w:ind w:firstLine="560" w:firstLineChars="200"/>
        <w:rPr>
          <w:rFonts w:ascii="仿宋_GB2312" w:hAnsi="宋体" w:eastAsia="仿宋_GB2312"/>
          <w:sz w:val="28"/>
          <w:szCs w:val="28"/>
        </w:rPr>
      </w:pPr>
      <w:r>
        <w:rPr>
          <w:rFonts w:hint="eastAsia" w:ascii="仿宋_GB2312" w:hAnsi="宋体" w:eastAsia="仿宋_GB2312"/>
          <w:sz w:val="28"/>
          <w:szCs w:val="28"/>
          <w:lang w:val="zh-CN"/>
        </w:rPr>
        <w:t xml:space="preserve">                            </w:t>
      </w:r>
      <w:r>
        <w:rPr>
          <w:rFonts w:hint="eastAsia" w:ascii="仿宋_GB2312" w:hAnsi="宋体" w:eastAsia="仿宋_GB2312"/>
          <w:sz w:val="28"/>
          <w:szCs w:val="28"/>
        </w:rPr>
        <w:t>2021</w:t>
      </w:r>
      <w:r>
        <w:rPr>
          <w:rFonts w:hint="eastAsia" w:ascii="仿宋_GB2312" w:hAnsi="宋体" w:eastAsia="仿宋_GB2312"/>
          <w:sz w:val="28"/>
          <w:szCs w:val="28"/>
          <w:lang w:val="zh-CN"/>
        </w:rPr>
        <w:t>年</w:t>
      </w:r>
      <w:bookmarkStart w:id="4" w:name="_GoBack"/>
      <w:bookmarkEnd w:id="4"/>
      <w:r>
        <w:rPr>
          <w:rFonts w:hint="eastAsia" w:ascii="仿宋_GB2312" w:hAnsi="宋体" w:eastAsia="仿宋_GB2312"/>
          <w:sz w:val="28"/>
          <w:szCs w:val="28"/>
        </w:rPr>
        <w:t>06</w:t>
      </w:r>
      <w:r>
        <w:rPr>
          <w:rFonts w:hint="eastAsia" w:ascii="仿宋_GB2312" w:hAnsi="宋体" w:eastAsia="仿宋_GB2312"/>
          <w:sz w:val="28"/>
          <w:szCs w:val="28"/>
          <w:lang w:val="zh-CN"/>
        </w:rPr>
        <w:t>月</w:t>
      </w:r>
      <w:r>
        <w:rPr>
          <w:rFonts w:hint="eastAsia" w:ascii="仿宋_GB2312" w:hAnsi="宋体" w:eastAsia="仿宋_GB2312"/>
          <w:sz w:val="28"/>
          <w:szCs w:val="28"/>
        </w:rPr>
        <w:t>23日</w:t>
      </w:r>
    </w:p>
    <w:sectPr>
      <w:pgSz w:w="11906" w:h="16838"/>
      <w:pgMar w:top="1440" w:right="1417" w:bottom="1440"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7"/>
                </w:pPr>
                <w:r>
                  <w:fldChar w:fldCharType="begin"/>
                </w:r>
                <w:r>
                  <w:instrText xml:space="preserve"> PAGE  \* MERGEFORMAT </w:instrText>
                </w:r>
                <w:r>
                  <w:fldChar w:fldCharType="separate"/>
                </w:r>
                <w:r>
                  <w:t>1</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D424D9"/>
    <w:multiLevelType w:val="multilevel"/>
    <w:tmpl w:val="18D424D9"/>
    <w:lvl w:ilvl="0" w:tentative="0">
      <w:start w:val="1"/>
      <w:numFmt w:val="decimal"/>
      <w:lvlText w:val="5.%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1AD20F90"/>
    <w:multiLevelType w:val="multilevel"/>
    <w:tmpl w:val="1AD20F90"/>
    <w:lvl w:ilvl="0" w:tentative="0">
      <w:start w:val="1"/>
      <w:numFmt w:val="none"/>
      <w:pStyle w:val="4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1CCC7566"/>
    <w:multiLevelType w:val="multilevel"/>
    <w:tmpl w:val="1CCC7566"/>
    <w:lvl w:ilvl="0" w:tentative="0">
      <w:start w:val="1"/>
      <w:numFmt w:val="japaneseCounting"/>
      <w:lvlText w:val="%1、"/>
      <w:lvlJc w:val="left"/>
      <w:pPr>
        <w:ind w:left="720" w:hanging="720"/>
      </w:pPr>
      <w:rPr>
        <w:rFonts w:hint="default"/>
        <w:color w:val="000000" w:themeColor="text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1FC91163"/>
    <w:multiLevelType w:val="multilevel"/>
    <w:tmpl w:val="1FC91163"/>
    <w:lvl w:ilvl="0" w:tentative="0">
      <w:start w:val="1"/>
      <w:numFmt w:val="decimal"/>
      <w:pStyle w:val="21"/>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4"/>
      <w:suff w:val="nothing"/>
      <w:lvlText w:val="%1.%2　"/>
      <w:lvlJc w:val="left"/>
      <w:pPr>
        <w:ind w:left="525"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44C50F90"/>
    <w:multiLevelType w:val="multilevel"/>
    <w:tmpl w:val="44C50F90"/>
    <w:lvl w:ilvl="0" w:tentative="0">
      <w:start w:val="1"/>
      <w:numFmt w:val="lowerLetter"/>
      <w:pStyle w:val="39"/>
      <w:lvlText w:val="%1)"/>
      <w:lvlJc w:val="left"/>
      <w:pPr>
        <w:tabs>
          <w:tab w:val="left" w:pos="851"/>
        </w:tabs>
        <w:ind w:left="851" w:hanging="426"/>
      </w:pPr>
      <w:rPr>
        <w:rFonts w:hint="eastAsia" w:ascii="宋体" w:hAnsi="Times New Roman" w:eastAsia="宋体"/>
        <w:sz w:val="21"/>
      </w:rPr>
    </w:lvl>
    <w:lvl w:ilvl="1" w:tentative="0">
      <w:start w:val="1"/>
      <w:numFmt w:val="decimal"/>
      <w:pStyle w:val="37"/>
      <w:lvlText w:val="%2)"/>
      <w:lvlJc w:val="left"/>
      <w:pPr>
        <w:tabs>
          <w:tab w:val="left" w:pos="1276"/>
        </w:tabs>
        <w:ind w:left="1276" w:hanging="425"/>
      </w:pPr>
      <w:rPr>
        <w:rFonts w:hint="eastAsia" w:ascii="宋体" w:hAnsi="Times New Roman" w:eastAsia="宋体"/>
        <w:sz w:val="21"/>
      </w:rPr>
    </w:lvl>
    <w:lvl w:ilvl="2" w:tentative="0">
      <w:start w:val="1"/>
      <w:numFmt w:val="decimal"/>
      <w:pStyle w:val="3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5">
    <w:nsid w:val="481E7037"/>
    <w:multiLevelType w:val="multilevel"/>
    <w:tmpl w:val="481E7037"/>
    <w:lvl w:ilvl="0" w:tentative="0">
      <w:start w:val="1"/>
      <w:numFmt w:val="decimal"/>
      <w:lvlText w:val="%1)"/>
      <w:lvlJc w:val="left"/>
      <w:pPr>
        <w:ind w:left="980" w:hanging="420"/>
      </w:p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6">
    <w:nsid w:val="6CEA2025"/>
    <w:multiLevelType w:val="multilevel"/>
    <w:tmpl w:val="6CEA2025"/>
    <w:lvl w:ilvl="0" w:tentative="0">
      <w:start w:val="1"/>
      <w:numFmt w:val="none"/>
      <w:pStyle w:val="32"/>
      <w:suff w:val="nothing"/>
      <w:lvlText w:val="%1"/>
      <w:lvlJc w:val="left"/>
      <w:pPr>
        <w:ind w:left="0" w:firstLine="0"/>
      </w:pPr>
      <w:rPr>
        <w:rFonts w:hint="eastAsia"/>
      </w:rPr>
    </w:lvl>
    <w:lvl w:ilvl="1" w:tentative="0">
      <w:start w:val="1"/>
      <w:numFmt w:val="decimal"/>
      <w:pStyle w:val="30"/>
      <w:suff w:val="nothing"/>
      <w:lvlText w:val="%1%2　"/>
      <w:lvlJc w:val="left"/>
      <w:pPr>
        <w:ind w:left="0" w:firstLine="0"/>
      </w:pPr>
      <w:rPr>
        <w:rFonts w:hint="eastAsia" w:ascii="黑体" w:eastAsia="黑体"/>
        <w:b w:val="0"/>
        <w:i w:val="0"/>
        <w:sz w:val="21"/>
      </w:rPr>
    </w:lvl>
    <w:lvl w:ilvl="2" w:tentative="0">
      <w:start w:val="1"/>
      <w:numFmt w:val="decimal"/>
      <w:pStyle w:val="31"/>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26"/>
      <w:suff w:val="nothing"/>
      <w:lvlText w:val="%1%2.%3.%4　"/>
      <w:lvlJc w:val="left"/>
      <w:pPr>
        <w:ind w:left="0" w:firstLine="0"/>
      </w:pPr>
      <w:rPr>
        <w:rFonts w:hint="eastAsia" w:ascii="黑体" w:eastAsia="黑体"/>
        <w:b w:val="0"/>
        <w:i w:val="0"/>
        <w:sz w:val="21"/>
      </w:rPr>
    </w:lvl>
    <w:lvl w:ilvl="4" w:tentative="0">
      <w:start w:val="1"/>
      <w:numFmt w:val="decimal"/>
      <w:pStyle w:val="27"/>
      <w:suff w:val="nothing"/>
      <w:lvlText w:val="%1%2.%3.%4.%5　"/>
      <w:lvlJc w:val="left"/>
      <w:pPr>
        <w:ind w:left="0" w:firstLine="0"/>
      </w:pPr>
      <w:rPr>
        <w:rFonts w:hint="eastAsia" w:ascii="黑体" w:eastAsia="黑体"/>
        <w:b w:val="0"/>
        <w:i w:val="0"/>
        <w:sz w:val="21"/>
      </w:rPr>
    </w:lvl>
    <w:lvl w:ilvl="5" w:tentative="0">
      <w:start w:val="1"/>
      <w:numFmt w:val="decimal"/>
      <w:pStyle w:val="28"/>
      <w:suff w:val="nothing"/>
      <w:lvlText w:val="%1%2.%3.%4.%5.%6　"/>
      <w:lvlJc w:val="left"/>
      <w:pPr>
        <w:ind w:left="0" w:firstLine="0"/>
      </w:pPr>
      <w:rPr>
        <w:rFonts w:hint="eastAsia" w:ascii="黑体" w:eastAsia="黑体"/>
        <w:b w:val="0"/>
        <w:i w:val="0"/>
        <w:sz w:val="21"/>
      </w:rPr>
    </w:lvl>
    <w:lvl w:ilvl="6" w:tentative="0">
      <w:start w:val="1"/>
      <w:numFmt w:val="decimal"/>
      <w:pStyle w:val="29"/>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7">
    <w:nsid w:val="6F270547"/>
    <w:multiLevelType w:val="multilevel"/>
    <w:tmpl w:val="6F270547"/>
    <w:lvl w:ilvl="0" w:tentative="0">
      <w:start w:val="1"/>
      <w:numFmt w:val="decimal"/>
      <w:lvlText w:val="%1)"/>
      <w:lvlJc w:val="left"/>
      <w:pPr>
        <w:ind w:left="980" w:hanging="420"/>
      </w:p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num w:numId="1">
    <w:abstractNumId w:val="3"/>
  </w:num>
  <w:num w:numId="2">
    <w:abstractNumId w:val="6"/>
  </w:num>
  <w:num w:numId="3">
    <w:abstractNumId w:val="4"/>
  </w:num>
  <w:num w:numId="4">
    <w:abstractNumId w:val="1"/>
  </w:num>
  <w:num w:numId="5">
    <w:abstractNumId w:val="2"/>
  </w:num>
  <w:num w:numId="6">
    <w:abstractNumId w:val="0"/>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52F40A7A"/>
    <w:rsid w:val="00040DC0"/>
    <w:rsid w:val="000512D3"/>
    <w:rsid w:val="000665FD"/>
    <w:rsid w:val="000909BA"/>
    <w:rsid w:val="000935F0"/>
    <w:rsid w:val="000964F1"/>
    <w:rsid w:val="000B4757"/>
    <w:rsid w:val="000B6C8F"/>
    <w:rsid w:val="000C482C"/>
    <w:rsid w:val="000D4AA2"/>
    <w:rsid w:val="000E4426"/>
    <w:rsid w:val="001039EA"/>
    <w:rsid w:val="001117EC"/>
    <w:rsid w:val="00123DC6"/>
    <w:rsid w:val="00135B3F"/>
    <w:rsid w:val="00141C5B"/>
    <w:rsid w:val="00160904"/>
    <w:rsid w:val="00160E6F"/>
    <w:rsid w:val="00172264"/>
    <w:rsid w:val="001B22CB"/>
    <w:rsid w:val="001C238A"/>
    <w:rsid w:val="001C6ED3"/>
    <w:rsid w:val="001E224E"/>
    <w:rsid w:val="00213EA1"/>
    <w:rsid w:val="00224154"/>
    <w:rsid w:val="00250FC1"/>
    <w:rsid w:val="0026141A"/>
    <w:rsid w:val="002616A7"/>
    <w:rsid w:val="00266580"/>
    <w:rsid w:val="00274D93"/>
    <w:rsid w:val="002A51A4"/>
    <w:rsid w:val="002B4FF1"/>
    <w:rsid w:val="002C1A57"/>
    <w:rsid w:val="002C3572"/>
    <w:rsid w:val="002D1D08"/>
    <w:rsid w:val="002F2593"/>
    <w:rsid w:val="002F2D35"/>
    <w:rsid w:val="002F3010"/>
    <w:rsid w:val="002F4BD4"/>
    <w:rsid w:val="00300EF4"/>
    <w:rsid w:val="00304DB3"/>
    <w:rsid w:val="00307A51"/>
    <w:rsid w:val="003114F8"/>
    <w:rsid w:val="00324DCE"/>
    <w:rsid w:val="0034163E"/>
    <w:rsid w:val="00344DCA"/>
    <w:rsid w:val="00351BA3"/>
    <w:rsid w:val="003523A6"/>
    <w:rsid w:val="00361BA1"/>
    <w:rsid w:val="003673FE"/>
    <w:rsid w:val="0038132B"/>
    <w:rsid w:val="0039281A"/>
    <w:rsid w:val="003A01F4"/>
    <w:rsid w:val="003B71C5"/>
    <w:rsid w:val="003B7223"/>
    <w:rsid w:val="003C75FC"/>
    <w:rsid w:val="003E1568"/>
    <w:rsid w:val="00400F95"/>
    <w:rsid w:val="00440C4D"/>
    <w:rsid w:val="0045346E"/>
    <w:rsid w:val="004553A5"/>
    <w:rsid w:val="00457A2A"/>
    <w:rsid w:val="00466A67"/>
    <w:rsid w:val="004711AC"/>
    <w:rsid w:val="0047343A"/>
    <w:rsid w:val="004A211C"/>
    <w:rsid w:val="004A2FAC"/>
    <w:rsid w:val="004A403B"/>
    <w:rsid w:val="004B0ACC"/>
    <w:rsid w:val="004B216E"/>
    <w:rsid w:val="004B6489"/>
    <w:rsid w:val="004D0E8C"/>
    <w:rsid w:val="004E0A36"/>
    <w:rsid w:val="004E2FBA"/>
    <w:rsid w:val="004F164E"/>
    <w:rsid w:val="004F274D"/>
    <w:rsid w:val="004F7626"/>
    <w:rsid w:val="00505174"/>
    <w:rsid w:val="005405A4"/>
    <w:rsid w:val="0055275D"/>
    <w:rsid w:val="005612E5"/>
    <w:rsid w:val="00583276"/>
    <w:rsid w:val="00594E12"/>
    <w:rsid w:val="005968B3"/>
    <w:rsid w:val="005A7FCF"/>
    <w:rsid w:val="005B1C23"/>
    <w:rsid w:val="005C6DBC"/>
    <w:rsid w:val="005D0F9E"/>
    <w:rsid w:val="00611246"/>
    <w:rsid w:val="00612591"/>
    <w:rsid w:val="00633E00"/>
    <w:rsid w:val="00634B08"/>
    <w:rsid w:val="00665D0A"/>
    <w:rsid w:val="006722D3"/>
    <w:rsid w:val="0067363E"/>
    <w:rsid w:val="006774D8"/>
    <w:rsid w:val="00680168"/>
    <w:rsid w:val="00680C97"/>
    <w:rsid w:val="00681ED9"/>
    <w:rsid w:val="006B2393"/>
    <w:rsid w:val="006B7A71"/>
    <w:rsid w:val="006D5BE5"/>
    <w:rsid w:val="006E460F"/>
    <w:rsid w:val="0070740B"/>
    <w:rsid w:val="007111AF"/>
    <w:rsid w:val="00714EA8"/>
    <w:rsid w:val="00721EE2"/>
    <w:rsid w:val="00730C05"/>
    <w:rsid w:val="00733FBD"/>
    <w:rsid w:val="0075645F"/>
    <w:rsid w:val="007720C8"/>
    <w:rsid w:val="00774B5E"/>
    <w:rsid w:val="00774BE8"/>
    <w:rsid w:val="00780C33"/>
    <w:rsid w:val="007A5904"/>
    <w:rsid w:val="007A674D"/>
    <w:rsid w:val="007B046E"/>
    <w:rsid w:val="007B2F52"/>
    <w:rsid w:val="007D6517"/>
    <w:rsid w:val="007E0069"/>
    <w:rsid w:val="007E6468"/>
    <w:rsid w:val="007F37EE"/>
    <w:rsid w:val="007F78F7"/>
    <w:rsid w:val="00800EA9"/>
    <w:rsid w:val="00803938"/>
    <w:rsid w:val="00803B2B"/>
    <w:rsid w:val="00812919"/>
    <w:rsid w:val="00823C69"/>
    <w:rsid w:val="0083085D"/>
    <w:rsid w:val="008337F3"/>
    <w:rsid w:val="008342AA"/>
    <w:rsid w:val="00837193"/>
    <w:rsid w:val="008451CA"/>
    <w:rsid w:val="0085556B"/>
    <w:rsid w:val="00857F5B"/>
    <w:rsid w:val="008672AC"/>
    <w:rsid w:val="00885F22"/>
    <w:rsid w:val="008C1F8D"/>
    <w:rsid w:val="008E5369"/>
    <w:rsid w:val="008E6B05"/>
    <w:rsid w:val="008F5547"/>
    <w:rsid w:val="00931B6F"/>
    <w:rsid w:val="00932DF7"/>
    <w:rsid w:val="00934D89"/>
    <w:rsid w:val="009443F3"/>
    <w:rsid w:val="00946A4E"/>
    <w:rsid w:val="009630F8"/>
    <w:rsid w:val="0096567D"/>
    <w:rsid w:val="00982776"/>
    <w:rsid w:val="00987678"/>
    <w:rsid w:val="009916B1"/>
    <w:rsid w:val="009A2A1C"/>
    <w:rsid w:val="009A7780"/>
    <w:rsid w:val="009B0913"/>
    <w:rsid w:val="009B58F8"/>
    <w:rsid w:val="009B75B2"/>
    <w:rsid w:val="009C50FE"/>
    <w:rsid w:val="009E1582"/>
    <w:rsid w:val="00A07F1D"/>
    <w:rsid w:val="00A2246F"/>
    <w:rsid w:val="00A26D5C"/>
    <w:rsid w:val="00A33E8F"/>
    <w:rsid w:val="00A54665"/>
    <w:rsid w:val="00A64D57"/>
    <w:rsid w:val="00A74F7A"/>
    <w:rsid w:val="00A771C4"/>
    <w:rsid w:val="00A867BA"/>
    <w:rsid w:val="00A86A54"/>
    <w:rsid w:val="00A91CBB"/>
    <w:rsid w:val="00A956A4"/>
    <w:rsid w:val="00AE578B"/>
    <w:rsid w:val="00AF6E67"/>
    <w:rsid w:val="00B27DDF"/>
    <w:rsid w:val="00B31C41"/>
    <w:rsid w:val="00B33DBB"/>
    <w:rsid w:val="00B35DC6"/>
    <w:rsid w:val="00B436B2"/>
    <w:rsid w:val="00B4588B"/>
    <w:rsid w:val="00B513ED"/>
    <w:rsid w:val="00B85B19"/>
    <w:rsid w:val="00B92E87"/>
    <w:rsid w:val="00B96600"/>
    <w:rsid w:val="00BA5404"/>
    <w:rsid w:val="00BE749C"/>
    <w:rsid w:val="00C40B8D"/>
    <w:rsid w:val="00C4620E"/>
    <w:rsid w:val="00C61BCC"/>
    <w:rsid w:val="00C64F6C"/>
    <w:rsid w:val="00C827F8"/>
    <w:rsid w:val="00CA41A5"/>
    <w:rsid w:val="00CC4D3B"/>
    <w:rsid w:val="00CD2DD8"/>
    <w:rsid w:val="00CE0EAA"/>
    <w:rsid w:val="00CE3E55"/>
    <w:rsid w:val="00CF5519"/>
    <w:rsid w:val="00D32936"/>
    <w:rsid w:val="00D42502"/>
    <w:rsid w:val="00D51876"/>
    <w:rsid w:val="00D74A4A"/>
    <w:rsid w:val="00D8739D"/>
    <w:rsid w:val="00DA2BD7"/>
    <w:rsid w:val="00DB5FFC"/>
    <w:rsid w:val="00DC22CF"/>
    <w:rsid w:val="00DD6F21"/>
    <w:rsid w:val="00DF671D"/>
    <w:rsid w:val="00E10161"/>
    <w:rsid w:val="00E13CDA"/>
    <w:rsid w:val="00E15734"/>
    <w:rsid w:val="00E238A6"/>
    <w:rsid w:val="00E33B57"/>
    <w:rsid w:val="00E46720"/>
    <w:rsid w:val="00E64104"/>
    <w:rsid w:val="00E85B2A"/>
    <w:rsid w:val="00E933D9"/>
    <w:rsid w:val="00E953C2"/>
    <w:rsid w:val="00EB0DD2"/>
    <w:rsid w:val="00EC65F7"/>
    <w:rsid w:val="00ED0033"/>
    <w:rsid w:val="00ED691C"/>
    <w:rsid w:val="00EE4EA7"/>
    <w:rsid w:val="00EE7D8E"/>
    <w:rsid w:val="00EF2897"/>
    <w:rsid w:val="00F0153A"/>
    <w:rsid w:val="00F120C6"/>
    <w:rsid w:val="00F24716"/>
    <w:rsid w:val="00F31B23"/>
    <w:rsid w:val="00F340BE"/>
    <w:rsid w:val="00F6264F"/>
    <w:rsid w:val="00F65349"/>
    <w:rsid w:val="00F67AA1"/>
    <w:rsid w:val="00F8289A"/>
    <w:rsid w:val="00F949F8"/>
    <w:rsid w:val="00F96C64"/>
    <w:rsid w:val="00FB142D"/>
    <w:rsid w:val="00FC5A3D"/>
    <w:rsid w:val="00FD2587"/>
    <w:rsid w:val="012073A2"/>
    <w:rsid w:val="01973053"/>
    <w:rsid w:val="01CE7107"/>
    <w:rsid w:val="02033A02"/>
    <w:rsid w:val="027E74CA"/>
    <w:rsid w:val="03846660"/>
    <w:rsid w:val="03946FB6"/>
    <w:rsid w:val="040E2447"/>
    <w:rsid w:val="04714CC0"/>
    <w:rsid w:val="04AD3F7A"/>
    <w:rsid w:val="04DB3C44"/>
    <w:rsid w:val="05E901FB"/>
    <w:rsid w:val="06025F00"/>
    <w:rsid w:val="06BC4688"/>
    <w:rsid w:val="06CC7423"/>
    <w:rsid w:val="07245C0A"/>
    <w:rsid w:val="07436F98"/>
    <w:rsid w:val="084F0058"/>
    <w:rsid w:val="091740CA"/>
    <w:rsid w:val="099A4C40"/>
    <w:rsid w:val="0B0401B9"/>
    <w:rsid w:val="0B3722E9"/>
    <w:rsid w:val="0B6F477F"/>
    <w:rsid w:val="0BE94AFA"/>
    <w:rsid w:val="0C114D3A"/>
    <w:rsid w:val="0C5305F4"/>
    <w:rsid w:val="0CE25932"/>
    <w:rsid w:val="0CF43C8A"/>
    <w:rsid w:val="0D4967B3"/>
    <w:rsid w:val="0DA87EC0"/>
    <w:rsid w:val="0E911E04"/>
    <w:rsid w:val="0F447B05"/>
    <w:rsid w:val="0FAB789B"/>
    <w:rsid w:val="0FE44295"/>
    <w:rsid w:val="0FEC3E14"/>
    <w:rsid w:val="10806873"/>
    <w:rsid w:val="11860F94"/>
    <w:rsid w:val="12A53D1F"/>
    <w:rsid w:val="12F45FA8"/>
    <w:rsid w:val="12F655BF"/>
    <w:rsid w:val="134C146A"/>
    <w:rsid w:val="13D702FD"/>
    <w:rsid w:val="142F1A43"/>
    <w:rsid w:val="14377FD0"/>
    <w:rsid w:val="14856F74"/>
    <w:rsid w:val="148808AC"/>
    <w:rsid w:val="149C0C39"/>
    <w:rsid w:val="153C3623"/>
    <w:rsid w:val="158840E2"/>
    <w:rsid w:val="15C0748F"/>
    <w:rsid w:val="15D12138"/>
    <w:rsid w:val="15E47C88"/>
    <w:rsid w:val="16174E54"/>
    <w:rsid w:val="16BE53A8"/>
    <w:rsid w:val="16E37F6D"/>
    <w:rsid w:val="16EC742F"/>
    <w:rsid w:val="17480A93"/>
    <w:rsid w:val="17A35DDF"/>
    <w:rsid w:val="182F7669"/>
    <w:rsid w:val="18787EC5"/>
    <w:rsid w:val="18CC2B8B"/>
    <w:rsid w:val="18EF1C9B"/>
    <w:rsid w:val="19BF3DD7"/>
    <w:rsid w:val="19DA7DEE"/>
    <w:rsid w:val="19DC4E83"/>
    <w:rsid w:val="19E84073"/>
    <w:rsid w:val="1A7368C8"/>
    <w:rsid w:val="1A976BB9"/>
    <w:rsid w:val="1AE72CD3"/>
    <w:rsid w:val="1AEF3D03"/>
    <w:rsid w:val="1B7E0E69"/>
    <w:rsid w:val="1BF9286A"/>
    <w:rsid w:val="1C136E65"/>
    <w:rsid w:val="1C4C4278"/>
    <w:rsid w:val="1C9E476B"/>
    <w:rsid w:val="1CA8000B"/>
    <w:rsid w:val="1CC031EA"/>
    <w:rsid w:val="1CD70860"/>
    <w:rsid w:val="1D1111C8"/>
    <w:rsid w:val="1D796A5E"/>
    <w:rsid w:val="1D800998"/>
    <w:rsid w:val="1D96232B"/>
    <w:rsid w:val="1DDF2CB1"/>
    <w:rsid w:val="1E6264E0"/>
    <w:rsid w:val="1EFA407E"/>
    <w:rsid w:val="1F126151"/>
    <w:rsid w:val="1F61417A"/>
    <w:rsid w:val="1F7B2EE6"/>
    <w:rsid w:val="1FF068CA"/>
    <w:rsid w:val="20363170"/>
    <w:rsid w:val="208A027D"/>
    <w:rsid w:val="214925D1"/>
    <w:rsid w:val="21B878C1"/>
    <w:rsid w:val="21DF74EB"/>
    <w:rsid w:val="22723962"/>
    <w:rsid w:val="22AD1641"/>
    <w:rsid w:val="23DD07B1"/>
    <w:rsid w:val="241C4DDC"/>
    <w:rsid w:val="24545B5D"/>
    <w:rsid w:val="24CD0EEF"/>
    <w:rsid w:val="24D067A5"/>
    <w:rsid w:val="25D030D9"/>
    <w:rsid w:val="26DA4AFE"/>
    <w:rsid w:val="27B95C35"/>
    <w:rsid w:val="27F25F7B"/>
    <w:rsid w:val="28DB3980"/>
    <w:rsid w:val="28F13D86"/>
    <w:rsid w:val="29204D61"/>
    <w:rsid w:val="29F349D6"/>
    <w:rsid w:val="29F563F0"/>
    <w:rsid w:val="2A897264"/>
    <w:rsid w:val="2A9A65A6"/>
    <w:rsid w:val="2AB10CDE"/>
    <w:rsid w:val="2B5E4C67"/>
    <w:rsid w:val="2B97780B"/>
    <w:rsid w:val="2CCB46E5"/>
    <w:rsid w:val="2D2410CF"/>
    <w:rsid w:val="2D344C00"/>
    <w:rsid w:val="2D923C8D"/>
    <w:rsid w:val="2E2A5CB9"/>
    <w:rsid w:val="2E6073FD"/>
    <w:rsid w:val="2E956FE0"/>
    <w:rsid w:val="2EA475C2"/>
    <w:rsid w:val="2F0C37CF"/>
    <w:rsid w:val="2F24002C"/>
    <w:rsid w:val="2F5A1514"/>
    <w:rsid w:val="2F6A6545"/>
    <w:rsid w:val="2FE77C32"/>
    <w:rsid w:val="302C0C9F"/>
    <w:rsid w:val="30471FB7"/>
    <w:rsid w:val="30C817CC"/>
    <w:rsid w:val="30C84030"/>
    <w:rsid w:val="30EC66DF"/>
    <w:rsid w:val="31727782"/>
    <w:rsid w:val="31AE15C3"/>
    <w:rsid w:val="31E60C8B"/>
    <w:rsid w:val="31FF6CE2"/>
    <w:rsid w:val="32456CC4"/>
    <w:rsid w:val="3311445F"/>
    <w:rsid w:val="33865CDD"/>
    <w:rsid w:val="345E6D06"/>
    <w:rsid w:val="34AC423B"/>
    <w:rsid w:val="34D15C68"/>
    <w:rsid w:val="353A3782"/>
    <w:rsid w:val="3542414B"/>
    <w:rsid w:val="35860E50"/>
    <w:rsid w:val="35BB3EF4"/>
    <w:rsid w:val="369C4E13"/>
    <w:rsid w:val="36A8469E"/>
    <w:rsid w:val="36B1619C"/>
    <w:rsid w:val="36F84CBD"/>
    <w:rsid w:val="381B6C50"/>
    <w:rsid w:val="384D7457"/>
    <w:rsid w:val="386B0FD9"/>
    <w:rsid w:val="3933479C"/>
    <w:rsid w:val="393869BB"/>
    <w:rsid w:val="396D1326"/>
    <w:rsid w:val="39BC21E0"/>
    <w:rsid w:val="39E4102F"/>
    <w:rsid w:val="3B5222CB"/>
    <w:rsid w:val="3BB5469A"/>
    <w:rsid w:val="3D9E4506"/>
    <w:rsid w:val="3DA60433"/>
    <w:rsid w:val="3ED50BDE"/>
    <w:rsid w:val="3EE1042C"/>
    <w:rsid w:val="3EE2552D"/>
    <w:rsid w:val="3F295722"/>
    <w:rsid w:val="408F1B38"/>
    <w:rsid w:val="4165602A"/>
    <w:rsid w:val="416B0F76"/>
    <w:rsid w:val="417E0D3F"/>
    <w:rsid w:val="42B40A8B"/>
    <w:rsid w:val="431472BE"/>
    <w:rsid w:val="43154769"/>
    <w:rsid w:val="43EB17DA"/>
    <w:rsid w:val="443541FA"/>
    <w:rsid w:val="449E6649"/>
    <w:rsid w:val="450C4D75"/>
    <w:rsid w:val="46184524"/>
    <w:rsid w:val="46ED03C2"/>
    <w:rsid w:val="484F252F"/>
    <w:rsid w:val="4862180D"/>
    <w:rsid w:val="48CB7DE0"/>
    <w:rsid w:val="48DE3F2D"/>
    <w:rsid w:val="497F5F49"/>
    <w:rsid w:val="49E1340B"/>
    <w:rsid w:val="4A8A1CA2"/>
    <w:rsid w:val="4B011028"/>
    <w:rsid w:val="4BF62B9B"/>
    <w:rsid w:val="4C661C38"/>
    <w:rsid w:val="4C695DDB"/>
    <w:rsid w:val="4C9A5EA5"/>
    <w:rsid w:val="4CDF3A61"/>
    <w:rsid w:val="4D9A3B9B"/>
    <w:rsid w:val="4DD528AB"/>
    <w:rsid w:val="4DF026E8"/>
    <w:rsid w:val="4E003582"/>
    <w:rsid w:val="4E755E5F"/>
    <w:rsid w:val="4EE2079C"/>
    <w:rsid w:val="4F0E378C"/>
    <w:rsid w:val="4F3D6BB8"/>
    <w:rsid w:val="4F4E509D"/>
    <w:rsid w:val="503D5B3F"/>
    <w:rsid w:val="509715B3"/>
    <w:rsid w:val="51885345"/>
    <w:rsid w:val="52F40A7A"/>
    <w:rsid w:val="53AB37CE"/>
    <w:rsid w:val="54706EE3"/>
    <w:rsid w:val="54781D67"/>
    <w:rsid w:val="54BA6FAE"/>
    <w:rsid w:val="55013876"/>
    <w:rsid w:val="55297417"/>
    <w:rsid w:val="55527E49"/>
    <w:rsid w:val="555F515E"/>
    <w:rsid w:val="56B93F99"/>
    <w:rsid w:val="56C27DEF"/>
    <w:rsid w:val="56FA72B4"/>
    <w:rsid w:val="57322BDA"/>
    <w:rsid w:val="579529A0"/>
    <w:rsid w:val="57D46C58"/>
    <w:rsid w:val="58A62F16"/>
    <w:rsid w:val="58BE7A1C"/>
    <w:rsid w:val="59772169"/>
    <w:rsid w:val="5ABA692B"/>
    <w:rsid w:val="5B20154B"/>
    <w:rsid w:val="5C4C5F63"/>
    <w:rsid w:val="5CF30946"/>
    <w:rsid w:val="5D014110"/>
    <w:rsid w:val="5DA3099B"/>
    <w:rsid w:val="5DB11630"/>
    <w:rsid w:val="5E0A1CB3"/>
    <w:rsid w:val="5EB85928"/>
    <w:rsid w:val="5ED013E9"/>
    <w:rsid w:val="5F0437D4"/>
    <w:rsid w:val="5F563DE3"/>
    <w:rsid w:val="5FBE15F0"/>
    <w:rsid w:val="5FFE39FF"/>
    <w:rsid w:val="60090E87"/>
    <w:rsid w:val="60AD2485"/>
    <w:rsid w:val="61154026"/>
    <w:rsid w:val="616855EF"/>
    <w:rsid w:val="62B738DE"/>
    <w:rsid w:val="62C45871"/>
    <w:rsid w:val="62E269BE"/>
    <w:rsid w:val="63273FE2"/>
    <w:rsid w:val="633C4553"/>
    <w:rsid w:val="635E1DC8"/>
    <w:rsid w:val="63B306FF"/>
    <w:rsid w:val="63DB6CD0"/>
    <w:rsid w:val="63F8153B"/>
    <w:rsid w:val="648A3DC7"/>
    <w:rsid w:val="64986500"/>
    <w:rsid w:val="64E84C0B"/>
    <w:rsid w:val="65CB5D27"/>
    <w:rsid w:val="666A2CEB"/>
    <w:rsid w:val="666C3C15"/>
    <w:rsid w:val="66B5037B"/>
    <w:rsid w:val="66BF71C4"/>
    <w:rsid w:val="676F0FA5"/>
    <w:rsid w:val="67BF0790"/>
    <w:rsid w:val="680A63DF"/>
    <w:rsid w:val="682A33A0"/>
    <w:rsid w:val="68A1291D"/>
    <w:rsid w:val="68B76BCA"/>
    <w:rsid w:val="68D12C7B"/>
    <w:rsid w:val="68EA387A"/>
    <w:rsid w:val="68FC3CE7"/>
    <w:rsid w:val="693646B5"/>
    <w:rsid w:val="69B721C8"/>
    <w:rsid w:val="69D35D2D"/>
    <w:rsid w:val="69D45F41"/>
    <w:rsid w:val="6A9B3230"/>
    <w:rsid w:val="6AB6350D"/>
    <w:rsid w:val="6BEE5365"/>
    <w:rsid w:val="6D833919"/>
    <w:rsid w:val="6E0C603E"/>
    <w:rsid w:val="6E5720A4"/>
    <w:rsid w:val="6F100594"/>
    <w:rsid w:val="6F657C10"/>
    <w:rsid w:val="6FAF1154"/>
    <w:rsid w:val="6FB05B67"/>
    <w:rsid w:val="6FE31FE3"/>
    <w:rsid w:val="7003626C"/>
    <w:rsid w:val="70241AA7"/>
    <w:rsid w:val="705F3713"/>
    <w:rsid w:val="707E05FA"/>
    <w:rsid w:val="72E10B53"/>
    <w:rsid w:val="73041F38"/>
    <w:rsid w:val="73222030"/>
    <w:rsid w:val="738003D8"/>
    <w:rsid w:val="76552FDB"/>
    <w:rsid w:val="76B722F6"/>
    <w:rsid w:val="76EC3085"/>
    <w:rsid w:val="775828D2"/>
    <w:rsid w:val="77A46809"/>
    <w:rsid w:val="77EE4ADF"/>
    <w:rsid w:val="78A343AC"/>
    <w:rsid w:val="78B57F31"/>
    <w:rsid w:val="78ED11E9"/>
    <w:rsid w:val="79663276"/>
    <w:rsid w:val="79B56CAC"/>
    <w:rsid w:val="79C42846"/>
    <w:rsid w:val="7A123434"/>
    <w:rsid w:val="7A5B26E7"/>
    <w:rsid w:val="7A610B9B"/>
    <w:rsid w:val="7A6275CC"/>
    <w:rsid w:val="7AB768AA"/>
    <w:rsid w:val="7AFA5663"/>
    <w:rsid w:val="7BF65A6C"/>
    <w:rsid w:val="7C686567"/>
    <w:rsid w:val="7CE0598F"/>
    <w:rsid w:val="7D0B1632"/>
    <w:rsid w:val="7DA37707"/>
    <w:rsid w:val="7DAB739D"/>
    <w:rsid w:val="7DE5123F"/>
    <w:rsid w:val="7E565709"/>
    <w:rsid w:val="7E9D55BD"/>
    <w:rsid w:val="7EBB4BE7"/>
    <w:rsid w:val="7F6A4D24"/>
    <w:rsid w:val="7FBF1496"/>
    <w:rsid w:val="7FDA4D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_x0000_s1039"/>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3"/>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4"/>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semiHidden/>
    <w:unhideWhenUsed/>
    <w:qFormat/>
    <w:uiPriority w:val="0"/>
    <w:pPr>
      <w:spacing w:beforeAutospacing="1" w:afterAutospacing="1"/>
      <w:jc w:val="left"/>
      <w:outlineLvl w:val="2"/>
    </w:pPr>
    <w:rPr>
      <w:rFonts w:hint="eastAsia" w:ascii="宋体" w:hAnsi="宋体"/>
      <w:b/>
      <w:kern w:val="0"/>
      <w:sz w:val="27"/>
      <w:szCs w:val="27"/>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Document Map"/>
    <w:basedOn w:val="1"/>
    <w:link w:val="20"/>
    <w:qFormat/>
    <w:uiPriority w:val="0"/>
    <w:rPr>
      <w:rFonts w:ascii="宋体"/>
      <w:sz w:val="18"/>
      <w:szCs w:val="18"/>
    </w:rPr>
  </w:style>
  <w:style w:type="paragraph" w:styleId="6">
    <w:name w:val="Balloon Text"/>
    <w:basedOn w:val="1"/>
    <w:link w:val="19"/>
    <w:qFormat/>
    <w:uiPriority w:val="0"/>
    <w:rPr>
      <w:sz w:val="18"/>
      <w:szCs w:val="18"/>
    </w:rPr>
  </w:style>
  <w:style w:type="paragraph" w:styleId="7">
    <w:name w:val="footer"/>
    <w:basedOn w:val="1"/>
    <w:link w:val="18"/>
    <w:qFormat/>
    <w:uiPriority w:val="0"/>
    <w:pPr>
      <w:tabs>
        <w:tab w:val="center" w:pos="4153"/>
        <w:tab w:val="right" w:pos="8306"/>
      </w:tabs>
      <w:snapToGrid w:val="0"/>
      <w:jc w:val="left"/>
    </w:pPr>
    <w:rPr>
      <w:sz w:val="18"/>
      <w:szCs w:val="18"/>
    </w:rPr>
  </w:style>
  <w:style w:type="paragraph" w:styleId="8">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100" w:beforeAutospacing="1" w:after="100" w:afterAutospacing="1"/>
      <w:jc w:val="left"/>
    </w:pPr>
    <w:rPr>
      <w:kern w:val="0"/>
      <w:sz w:val="24"/>
    </w:rPr>
  </w:style>
  <w:style w:type="table" w:styleId="11">
    <w:name w:val="Table Grid"/>
    <w:basedOn w:val="10"/>
    <w:unhideWhenUsed/>
    <w:qFormat/>
    <w:uiPriority w:val="9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basedOn w:val="12"/>
    <w:qFormat/>
    <w:uiPriority w:val="22"/>
    <w:rPr>
      <w:b/>
    </w:rPr>
  </w:style>
  <w:style w:type="paragraph" w:styleId="14">
    <w:name w:val="List Paragraph"/>
    <w:basedOn w:val="1"/>
    <w:qFormat/>
    <w:uiPriority w:val="34"/>
    <w:pPr>
      <w:ind w:firstLine="420" w:firstLineChars="200"/>
    </w:pPr>
    <w:rPr>
      <w:szCs w:val="22"/>
    </w:rPr>
  </w:style>
  <w:style w:type="paragraph" w:customStyle="1" w:styleId="15">
    <w:name w:val="标准文件_段"/>
    <w:link w:val="1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6">
    <w:name w:val="标准文件_段 Char"/>
    <w:link w:val="15"/>
    <w:qFormat/>
    <w:uiPriority w:val="0"/>
    <w:rPr>
      <w:rFonts w:ascii="宋体"/>
      <w:sz w:val="21"/>
    </w:rPr>
  </w:style>
  <w:style w:type="character" w:customStyle="1" w:styleId="17">
    <w:name w:val="页眉 Char"/>
    <w:basedOn w:val="12"/>
    <w:link w:val="8"/>
    <w:qFormat/>
    <w:uiPriority w:val="0"/>
    <w:rPr>
      <w:rFonts w:ascii="Times New Roman" w:hAnsi="Times New Roman"/>
      <w:kern w:val="2"/>
      <w:sz w:val="18"/>
      <w:szCs w:val="18"/>
    </w:rPr>
  </w:style>
  <w:style w:type="character" w:customStyle="1" w:styleId="18">
    <w:name w:val="页脚 Char"/>
    <w:basedOn w:val="12"/>
    <w:link w:val="7"/>
    <w:qFormat/>
    <w:uiPriority w:val="0"/>
    <w:rPr>
      <w:rFonts w:ascii="Times New Roman" w:hAnsi="Times New Roman"/>
      <w:kern w:val="2"/>
      <w:sz w:val="18"/>
      <w:szCs w:val="18"/>
    </w:rPr>
  </w:style>
  <w:style w:type="character" w:customStyle="1" w:styleId="19">
    <w:name w:val="批注框文本 Char"/>
    <w:basedOn w:val="12"/>
    <w:link w:val="6"/>
    <w:qFormat/>
    <w:uiPriority w:val="0"/>
    <w:rPr>
      <w:rFonts w:ascii="Times New Roman" w:hAnsi="Times New Roman"/>
      <w:kern w:val="2"/>
      <w:sz w:val="18"/>
      <w:szCs w:val="18"/>
    </w:rPr>
  </w:style>
  <w:style w:type="character" w:customStyle="1" w:styleId="20">
    <w:name w:val="文档结构图 Char"/>
    <w:basedOn w:val="12"/>
    <w:link w:val="5"/>
    <w:qFormat/>
    <w:uiPriority w:val="0"/>
    <w:rPr>
      <w:rFonts w:ascii="宋体"/>
      <w:kern w:val="2"/>
      <w:sz w:val="18"/>
      <w:szCs w:val="18"/>
    </w:rPr>
  </w:style>
  <w:style w:type="paragraph" w:customStyle="1" w:styleId="21">
    <w:name w:val="章标题"/>
    <w:next w:val="22"/>
    <w:qFormat/>
    <w:uiPriority w:val="0"/>
    <w:pPr>
      <w:numPr>
        <w:ilvl w:val="0"/>
        <w:numId w:val="1"/>
      </w:numPr>
      <w:spacing w:beforeLines="100" w:afterLines="100"/>
      <w:jc w:val="both"/>
      <w:outlineLvl w:val="1"/>
    </w:pPr>
    <w:rPr>
      <w:rFonts w:ascii="黑体" w:hAnsi="Times New Roman" w:eastAsia="黑体" w:cs="Times New Roman"/>
      <w:sz w:val="21"/>
      <w:lang w:val="en-US" w:eastAsia="zh-CN" w:bidi="ar-SA"/>
    </w:rPr>
  </w:style>
  <w:style w:type="paragraph" w:customStyle="1" w:styleId="22">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
    <w:name w:val="一级无"/>
    <w:basedOn w:val="24"/>
    <w:qFormat/>
    <w:uiPriority w:val="0"/>
    <w:pPr>
      <w:spacing w:beforeLines="0" w:afterLines="0"/>
    </w:pPr>
    <w:rPr>
      <w:rFonts w:ascii="宋体" w:eastAsia="宋体"/>
    </w:rPr>
  </w:style>
  <w:style w:type="paragraph" w:customStyle="1" w:styleId="24">
    <w:name w:val="一级条标题"/>
    <w:next w:val="22"/>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 w:type="paragraph" w:customStyle="1" w:styleId="25">
    <w:name w:val="正文公式编号制表符"/>
    <w:basedOn w:val="22"/>
    <w:next w:val="22"/>
    <w:qFormat/>
    <w:uiPriority w:val="0"/>
    <w:pPr>
      <w:ind w:firstLine="0" w:firstLineChars="0"/>
    </w:pPr>
    <w:rPr>
      <w:rFonts w:hAnsi="Calibri"/>
    </w:rPr>
  </w:style>
  <w:style w:type="paragraph" w:customStyle="1" w:styleId="26">
    <w:name w:val="标准文件_二级条标题"/>
    <w:next w:val="15"/>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paragraph" w:customStyle="1" w:styleId="27">
    <w:name w:val="标准文件_三级条标题"/>
    <w:basedOn w:val="26"/>
    <w:next w:val="15"/>
    <w:qFormat/>
    <w:uiPriority w:val="0"/>
    <w:pPr>
      <w:widowControl/>
      <w:numPr>
        <w:ilvl w:val="4"/>
      </w:numPr>
      <w:outlineLvl w:val="3"/>
    </w:pPr>
  </w:style>
  <w:style w:type="paragraph" w:customStyle="1" w:styleId="28">
    <w:name w:val="标准文件_四级条标题"/>
    <w:next w:val="15"/>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paragraph" w:customStyle="1" w:styleId="29">
    <w:name w:val="标准文件_五级条标题"/>
    <w:next w:val="15"/>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30">
    <w:name w:val="标准文件_章标题"/>
    <w:next w:val="15"/>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31">
    <w:name w:val="标准文件_一级条标题"/>
    <w:basedOn w:val="30"/>
    <w:next w:val="15"/>
    <w:qFormat/>
    <w:uiPriority w:val="0"/>
    <w:pPr>
      <w:numPr>
        <w:ilvl w:val="2"/>
      </w:numPr>
      <w:spacing w:beforeLines="50" w:afterLines="50"/>
      <w:outlineLvl w:val="1"/>
    </w:pPr>
  </w:style>
  <w:style w:type="paragraph" w:customStyle="1" w:styleId="3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33">
    <w:name w:val="标准文件_一级无标题"/>
    <w:basedOn w:val="31"/>
    <w:qFormat/>
    <w:uiPriority w:val="0"/>
    <w:pPr>
      <w:spacing w:beforeLines="0" w:afterLines="0"/>
      <w:outlineLvl w:val="9"/>
    </w:pPr>
    <w:rPr>
      <w:rFonts w:ascii="宋体" w:eastAsia="宋体"/>
    </w:rPr>
  </w:style>
  <w:style w:type="paragraph" w:customStyle="1" w:styleId="34">
    <w:name w:val="标准文件_二级无标题"/>
    <w:basedOn w:val="26"/>
    <w:qFormat/>
    <w:uiPriority w:val="0"/>
    <w:pPr>
      <w:spacing w:beforeLines="0" w:afterLines="0"/>
      <w:outlineLvl w:val="9"/>
    </w:pPr>
    <w:rPr>
      <w:rFonts w:ascii="宋体" w:eastAsia="宋体"/>
    </w:rPr>
  </w:style>
  <w:style w:type="paragraph" w:customStyle="1" w:styleId="35">
    <w:name w:val="Body text|1"/>
    <w:basedOn w:val="1"/>
    <w:link w:val="36"/>
    <w:qFormat/>
    <w:uiPriority w:val="0"/>
    <w:pPr>
      <w:spacing w:line="312" w:lineRule="auto"/>
    </w:pPr>
    <w:rPr>
      <w:rFonts w:ascii="宋体" w:hAnsi="宋体" w:cs="宋体"/>
      <w:sz w:val="20"/>
      <w:szCs w:val="20"/>
      <w:lang w:val="zh-TW" w:eastAsia="zh-TW" w:bidi="zh-TW"/>
    </w:rPr>
  </w:style>
  <w:style w:type="character" w:customStyle="1" w:styleId="36">
    <w:name w:val="Body text|1_"/>
    <w:basedOn w:val="12"/>
    <w:link w:val="35"/>
    <w:qFormat/>
    <w:uiPriority w:val="0"/>
    <w:rPr>
      <w:rFonts w:ascii="宋体" w:hAnsi="宋体" w:cs="宋体"/>
      <w:kern w:val="2"/>
      <w:lang w:val="zh-TW" w:eastAsia="zh-TW" w:bidi="zh-TW"/>
    </w:rPr>
  </w:style>
  <w:style w:type="paragraph" w:customStyle="1" w:styleId="37">
    <w:name w:val="标准文件_数字编号列项（二级）"/>
    <w:qFormat/>
    <w:uiPriority w:val="0"/>
    <w:pPr>
      <w:numPr>
        <w:ilvl w:val="1"/>
        <w:numId w:val="3"/>
      </w:numPr>
      <w:jc w:val="both"/>
    </w:pPr>
    <w:rPr>
      <w:rFonts w:ascii="宋体" w:hAnsi="Times New Roman" w:eastAsia="宋体" w:cs="Times New Roman"/>
      <w:sz w:val="21"/>
      <w:lang w:val="en-US" w:eastAsia="zh-CN" w:bidi="ar-SA"/>
    </w:rPr>
  </w:style>
  <w:style w:type="paragraph" w:customStyle="1" w:styleId="38">
    <w:name w:val="标准文件_编号列项（三级）"/>
    <w:qFormat/>
    <w:uiPriority w:val="0"/>
    <w:pPr>
      <w:numPr>
        <w:ilvl w:val="2"/>
        <w:numId w:val="3"/>
      </w:numPr>
    </w:pPr>
    <w:rPr>
      <w:rFonts w:ascii="宋体" w:hAnsi="Times New Roman" w:eastAsia="宋体" w:cs="Times New Roman"/>
      <w:sz w:val="21"/>
      <w:lang w:val="en-US" w:eastAsia="zh-CN" w:bidi="ar-SA"/>
    </w:rPr>
  </w:style>
  <w:style w:type="paragraph" w:customStyle="1" w:styleId="39">
    <w:name w:val="标准文件_字母编号列项（一级）"/>
    <w:qFormat/>
    <w:uiPriority w:val="0"/>
    <w:pPr>
      <w:numPr>
        <w:ilvl w:val="0"/>
        <w:numId w:val="3"/>
      </w:numPr>
      <w:jc w:val="both"/>
    </w:pPr>
    <w:rPr>
      <w:rFonts w:ascii="宋体" w:hAnsi="Times New Roman" w:eastAsia="宋体" w:cs="Times New Roman"/>
      <w:sz w:val="21"/>
      <w:lang w:val="en-US" w:eastAsia="zh-CN" w:bidi="ar-SA"/>
    </w:rPr>
  </w:style>
  <w:style w:type="paragraph" w:customStyle="1" w:styleId="40">
    <w:name w:val="标准文件_标准正文"/>
    <w:basedOn w:val="1"/>
    <w:next w:val="15"/>
    <w:qFormat/>
    <w:uiPriority w:val="0"/>
    <w:pPr>
      <w:adjustRightInd w:val="0"/>
      <w:snapToGrid w:val="0"/>
      <w:spacing w:line="400" w:lineRule="exact"/>
      <w:ind w:firstLine="200" w:firstLineChars="200"/>
    </w:pPr>
    <w:rPr>
      <w:rFonts w:ascii="Calibri" w:hAnsi="Calibri"/>
      <w:kern w:val="0"/>
      <w:szCs w:val="21"/>
    </w:rPr>
  </w:style>
  <w:style w:type="paragraph" w:customStyle="1" w:styleId="41">
    <w:name w:val="标准文件_英文注："/>
    <w:basedOn w:val="1"/>
    <w:next w:val="15"/>
    <w:qFormat/>
    <w:uiPriority w:val="0"/>
    <w:pPr>
      <w:numPr>
        <w:ilvl w:val="0"/>
        <w:numId w:val="4"/>
      </w:numPr>
      <w:tabs>
        <w:tab w:val="left" w:pos="420"/>
      </w:tabs>
      <w:autoSpaceDE w:val="0"/>
      <w:autoSpaceDN w:val="0"/>
      <w:adjustRightInd w:val="0"/>
    </w:pPr>
    <w:rPr>
      <w:rFonts w:ascii="宋体" w:hAnsi="宋体"/>
      <w:kern w:val="0"/>
      <w:sz w:val="18"/>
      <w:szCs w:val="20"/>
    </w:rPr>
  </w:style>
  <w:style w:type="paragraph" w:customStyle="1" w:styleId="42">
    <w:name w:val="标准文件_正文公式"/>
    <w:basedOn w:val="1"/>
    <w:next w:val="40"/>
    <w:qFormat/>
    <w:uiPriority w:val="0"/>
    <w:pPr>
      <w:tabs>
        <w:tab w:val="center" w:pos="4678"/>
        <w:tab w:val="right" w:leader="middleDot" w:pos="9356"/>
      </w:tabs>
      <w:adjustRightInd w:val="0"/>
    </w:pPr>
    <w:rPr>
      <w:rFonts w:ascii="宋体" w:hAnsi="宋体"/>
      <w:szCs w:val="21"/>
    </w:rPr>
  </w:style>
  <w:style w:type="character" w:customStyle="1" w:styleId="43">
    <w:name w:val="标题 1 Char"/>
    <w:basedOn w:val="12"/>
    <w:link w:val="2"/>
    <w:qFormat/>
    <w:uiPriority w:val="0"/>
    <w:rPr>
      <w:b/>
      <w:bCs/>
      <w:kern w:val="44"/>
      <w:sz w:val="44"/>
      <w:szCs w:val="44"/>
    </w:rPr>
  </w:style>
  <w:style w:type="character" w:customStyle="1" w:styleId="44">
    <w:name w:val="标题 2 Char"/>
    <w:basedOn w:val="12"/>
    <w:link w:val="3"/>
    <w:semiHidden/>
    <w:qFormat/>
    <w:uiPriority w:val="0"/>
    <w:rPr>
      <w:rFonts w:asciiTheme="majorHAnsi" w:hAnsiTheme="majorHAnsi" w:eastAsiaTheme="majorEastAsia" w:cstheme="majorBidi"/>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oleObject" Target="embeddings/oleObject2.bin"/><Relationship Id="rId7" Type="http://schemas.openxmlformats.org/officeDocument/2006/relationships/image" Target="media/image1.png"/><Relationship Id="rId6" Type="http://schemas.openxmlformats.org/officeDocument/2006/relationships/oleObject" Target="embeddings/oleObject1.bin"/><Relationship Id="rId5" Type="http://schemas.openxmlformats.org/officeDocument/2006/relationships/chart" Target="charts/chart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E:\&#35874;\&#28096;&#31881;\20210427\&#26354;&#32447;\&#26354;&#32447;&#25214;&#26368;&#22823;&#21560;&#25910;&#28857;.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smoothMarker"/>
        <c:varyColors val="0"/>
        <c:ser>
          <c:idx val="0"/>
          <c:order val="0"/>
          <c:tx>
            <c:strRef>
              <c:f>支链最大吸收曲线</c:f>
              <c:strCache>
                <c:ptCount val="1"/>
                <c:pt idx="0">
                  <c:v>支链最大吸收曲线</c:v>
                </c:pt>
              </c:strCache>
            </c:strRef>
          </c:tx>
          <c:spPr>
            <a:ln w="12700" cap="rnd" cmpd="sng" algn="ctr">
              <a:solidFill>
                <a:schemeClr val="accent1">
                  <a:shade val="76667"/>
                </a:schemeClr>
              </a:solidFill>
              <a:prstDash val="solid"/>
              <a:round/>
            </a:ln>
          </c:spPr>
          <c:marker>
            <c:symbol val="none"/>
          </c:marker>
          <c:dLbls>
            <c:delete val="1"/>
          </c:dLbls>
          <c:xVal>
            <c:numRef>
              <c:f>Sheet1!$F$2:$F$404</c:f>
              <c:numCache>
                <c:formatCode>General</c:formatCode>
                <c:ptCount val="403"/>
                <c:pt idx="0">
                  <c:v>400</c:v>
                </c:pt>
                <c:pt idx="1">
                  <c:v>401</c:v>
                </c:pt>
                <c:pt idx="2">
                  <c:v>402</c:v>
                </c:pt>
                <c:pt idx="3">
                  <c:v>403</c:v>
                </c:pt>
                <c:pt idx="4">
                  <c:v>404</c:v>
                </c:pt>
                <c:pt idx="5">
                  <c:v>405</c:v>
                </c:pt>
                <c:pt idx="6">
                  <c:v>406</c:v>
                </c:pt>
                <c:pt idx="7">
                  <c:v>407</c:v>
                </c:pt>
                <c:pt idx="8">
                  <c:v>408</c:v>
                </c:pt>
                <c:pt idx="9">
                  <c:v>409</c:v>
                </c:pt>
                <c:pt idx="10">
                  <c:v>410</c:v>
                </c:pt>
                <c:pt idx="11">
                  <c:v>411</c:v>
                </c:pt>
                <c:pt idx="12">
                  <c:v>412</c:v>
                </c:pt>
                <c:pt idx="13">
                  <c:v>413</c:v>
                </c:pt>
                <c:pt idx="14">
                  <c:v>414</c:v>
                </c:pt>
                <c:pt idx="15">
                  <c:v>415</c:v>
                </c:pt>
                <c:pt idx="16">
                  <c:v>416</c:v>
                </c:pt>
                <c:pt idx="17">
                  <c:v>417</c:v>
                </c:pt>
                <c:pt idx="18">
                  <c:v>418</c:v>
                </c:pt>
                <c:pt idx="19">
                  <c:v>419</c:v>
                </c:pt>
                <c:pt idx="20">
                  <c:v>420</c:v>
                </c:pt>
                <c:pt idx="21">
                  <c:v>421</c:v>
                </c:pt>
                <c:pt idx="22">
                  <c:v>422</c:v>
                </c:pt>
                <c:pt idx="23">
                  <c:v>423</c:v>
                </c:pt>
                <c:pt idx="24">
                  <c:v>424</c:v>
                </c:pt>
                <c:pt idx="25">
                  <c:v>425</c:v>
                </c:pt>
                <c:pt idx="26">
                  <c:v>426</c:v>
                </c:pt>
                <c:pt idx="27">
                  <c:v>427</c:v>
                </c:pt>
                <c:pt idx="28">
                  <c:v>428</c:v>
                </c:pt>
                <c:pt idx="29">
                  <c:v>429</c:v>
                </c:pt>
                <c:pt idx="30">
                  <c:v>430</c:v>
                </c:pt>
                <c:pt idx="31">
                  <c:v>431</c:v>
                </c:pt>
                <c:pt idx="32">
                  <c:v>432</c:v>
                </c:pt>
                <c:pt idx="33">
                  <c:v>433</c:v>
                </c:pt>
                <c:pt idx="34">
                  <c:v>434</c:v>
                </c:pt>
                <c:pt idx="35">
                  <c:v>435</c:v>
                </c:pt>
                <c:pt idx="36">
                  <c:v>436</c:v>
                </c:pt>
                <c:pt idx="37">
                  <c:v>437</c:v>
                </c:pt>
                <c:pt idx="38">
                  <c:v>438</c:v>
                </c:pt>
                <c:pt idx="39">
                  <c:v>439</c:v>
                </c:pt>
                <c:pt idx="40">
                  <c:v>440</c:v>
                </c:pt>
                <c:pt idx="41">
                  <c:v>441</c:v>
                </c:pt>
                <c:pt idx="42">
                  <c:v>442</c:v>
                </c:pt>
                <c:pt idx="43">
                  <c:v>443</c:v>
                </c:pt>
                <c:pt idx="44">
                  <c:v>444</c:v>
                </c:pt>
                <c:pt idx="45">
                  <c:v>445</c:v>
                </c:pt>
                <c:pt idx="46">
                  <c:v>446</c:v>
                </c:pt>
                <c:pt idx="47">
                  <c:v>447</c:v>
                </c:pt>
                <c:pt idx="48">
                  <c:v>448</c:v>
                </c:pt>
                <c:pt idx="49">
                  <c:v>449</c:v>
                </c:pt>
                <c:pt idx="50">
                  <c:v>450</c:v>
                </c:pt>
                <c:pt idx="51">
                  <c:v>451</c:v>
                </c:pt>
                <c:pt idx="52">
                  <c:v>452</c:v>
                </c:pt>
                <c:pt idx="53">
                  <c:v>453</c:v>
                </c:pt>
                <c:pt idx="54">
                  <c:v>454</c:v>
                </c:pt>
                <c:pt idx="55">
                  <c:v>455</c:v>
                </c:pt>
                <c:pt idx="56">
                  <c:v>456</c:v>
                </c:pt>
                <c:pt idx="57">
                  <c:v>457</c:v>
                </c:pt>
                <c:pt idx="58">
                  <c:v>458</c:v>
                </c:pt>
                <c:pt idx="59">
                  <c:v>459</c:v>
                </c:pt>
                <c:pt idx="60">
                  <c:v>460</c:v>
                </c:pt>
                <c:pt idx="61">
                  <c:v>461</c:v>
                </c:pt>
                <c:pt idx="62">
                  <c:v>462</c:v>
                </c:pt>
                <c:pt idx="63">
                  <c:v>463</c:v>
                </c:pt>
                <c:pt idx="64">
                  <c:v>464</c:v>
                </c:pt>
                <c:pt idx="65">
                  <c:v>465</c:v>
                </c:pt>
                <c:pt idx="66">
                  <c:v>466</c:v>
                </c:pt>
                <c:pt idx="67">
                  <c:v>467</c:v>
                </c:pt>
                <c:pt idx="68">
                  <c:v>468</c:v>
                </c:pt>
                <c:pt idx="69">
                  <c:v>469</c:v>
                </c:pt>
                <c:pt idx="70">
                  <c:v>470</c:v>
                </c:pt>
                <c:pt idx="71">
                  <c:v>471</c:v>
                </c:pt>
                <c:pt idx="72">
                  <c:v>472</c:v>
                </c:pt>
                <c:pt idx="73">
                  <c:v>473</c:v>
                </c:pt>
                <c:pt idx="74">
                  <c:v>474</c:v>
                </c:pt>
                <c:pt idx="75">
                  <c:v>475</c:v>
                </c:pt>
                <c:pt idx="76">
                  <c:v>476</c:v>
                </c:pt>
                <c:pt idx="77">
                  <c:v>477</c:v>
                </c:pt>
                <c:pt idx="78">
                  <c:v>478</c:v>
                </c:pt>
                <c:pt idx="79">
                  <c:v>479</c:v>
                </c:pt>
                <c:pt idx="80">
                  <c:v>480</c:v>
                </c:pt>
                <c:pt idx="81">
                  <c:v>481</c:v>
                </c:pt>
                <c:pt idx="82">
                  <c:v>482</c:v>
                </c:pt>
                <c:pt idx="83">
                  <c:v>483</c:v>
                </c:pt>
                <c:pt idx="84">
                  <c:v>484</c:v>
                </c:pt>
                <c:pt idx="85">
                  <c:v>485</c:v>
                </c:pt>
                <c:pt idx="86">
                  <c:v>486</c:v>
                </c:pt>
                <c:pt idx="87">
                  <c:v>487</c:v>
                </c:pt>
                <c:pt idx="88">
                  <c:v>488</c:v>
                </c:pt>
                <c:pt idx="89">
                  <c:v>489</c:v>
                </c:pt>
                <c:pt idx="90">
                  <c:v>490</c:v>
                </c:pt>
                <c:pt idx="91">
                  <c:v>491</c:v>
                </c:pt>
                <c:pt idx="92">
                  <c:v>492</c:v>
                </c:pt>
                <c:pt idx="93">
                  <c:v>493</c:v>
                </c:pt>
                <c:pt idx="94">
                  <c:v>494</c:v>
                </c:pt>
                <c:pt idx="95">
                  <c:v>495</c:v>
                </c:pt>
                <c:pt idx="96">
                  <c:v>496</c:v>
                </c:pt>
                <c:pt idx="97">
                  <c:v>497</c:v>
                </c:pt>
                <c:pt idx="98">
                  <c:v>498</c:v>
                </c:pt>
                <c:pt idx="99">
                  <c:v>499</c:v>
                </c:pt>
                <c:pt idx="100">
                  <c:v>500</c:v>
                </c:pt>
                <c:pt idx="101">
                  <c:v>501</c:v>
                </c:pt>
                <c:pt idx="102">
                  <c:v>502</c:v>
                </c:pt>
                <c:pt idx="103">
                  <c:v>503</c:v>
                </c:pt>
                <c:pt idx="104">
                  <c:v>504</c:v>
                </c:pt>
                <c:pt idx="105">
                  <c:v>505</c:v>
                </c:pt>
                <c:pt idx="106">
                  <c:v>506</c:v>
                </c:pt>
                <c:pt idx="107">
                  <c:v>507</c:v>
                </c:pt>
                <c:pt idx="108">
                  <c:v>508</c:v>
                </c:pt>
                <c:pt idx="109">
                  <c:v>509</c:v>
                </c:pt>
                <c:pt idx="110">
                  <c:v>510</c:v>
                </c:pt>
                <c:pt idx="111">
                  <c:v>511</c:v>
                </c:pt>
                <c:pt idx="112">
                  <c:v>512</c:v>
                </c:pt>
                <c:pt idx="113">
                  <c:v>513</c:v>
                </c:pt>
                <c:pt idx="114">
                  <c:v>514</c:v>
                </c:pt>
                <c:pt idx="115">
                  <c:v>515</c:v>
                </c:pt>
                <c:pt idx="116">
                  <c:v>516</c:v>
                </c:pt>
                <c:pt idx="117">
                  <c:v>517</c:v>
                </c:pt>
                <c:pt idx="118">
                  <c:v>518</c:v>
                </c:pt>
                <c:pt idx="119">
                  <c:v>519</c:v>
                </c:pt>
                <c:pt idx="120">
                  <c:v>520</c:v>
                </c:pt>
                <c:pt idx="121">
                  <c:v>521</c:v>
                </c:pt>
                <c:pt idx="122">
                  <c:v>522</c:v>
                </c:pt>
                <c:pt idx="123">
                  <c:v>523</c:v>
                </c:pt>
                <c:pt idx="124">
                  <c:v>524</c:v>
                </c:pt>
                <c:pt idx="125">
                  <c:v>525</c:v>
                </c:pt>
                <c:pt idx="126">
                  <c:v>526</c:v>
                </c:pt>
                <c:pt idx="127">
                  <c:v>527</c:v>
                </c:pt>
                <c:pt idx="128">
                  <c:v>528</c:v>
                </c:pt>
                <c:pt idx="129">
                  <c:v>529</c:v>
                </c:pt>
                <c:pt idx="130">
                  <c:v>530</c:v>
                </c:pt>
                <c:pt idx="131">
                  <c:v>531</c:v>
                </c:pt>
                <c:pt idx="132">
                  <c:v>532</c:v>
                </c:pt>
                <c:pt idx="133">
                  <c:v>533</c:v>
                </c:pt>
                <c:pt idx="134">
                  <c:v>534</c:v>
                </c:pt>
                <c:pt idx="135">
                  <c:v>535</c:v>
                </c:pt>
                <c:pt idx="136">
                  <c:v>536</c:v>
                </c:pt>
                <c:pt idx="137">
                  <c:v>537</c:v>
                </c:pt>
                <c:pt idx="138">
                  <c:v>538</c:v>
                </c:pt>
                <c:pt idx="139">
                  <c:v>539</c:v>
                </c:pt>
                <c:pt idx="140">
                  <c:v>540</c:v>
                </c:pt>
                <c:pt idx="141">
                  <c:v>541</c:v>
                </c:pt>
                <c:pt idx="142">
                  <c:v>542</c:v>
                </c:pt>
                <c:pt idx="143">
                  <c:v>543</c:v>
                </c:pt>
                <c:pt idx="144">
                  <c:v>544</c:v>
                </c:pt>
                <c:pt idx="145">
                  <c:v>545</c:v>
                </c:pt>
                <c:pt idx="146">
                  <c:v>546</c:v>
                </c:pt>
                <c:pt idx="147">
                  <c:v>547</c:v>
                </c:pt>
                <c:pt idx="148">
                  <c:v>548</c:v>
                </c:pt>
                <c:pt idx="149">
                  <c:v>549</c:v>
                </c:pt>
                <c:pt idx="150">
                  <c:v>550</c:v>
                </c:pt>
                <c:pt idx="151">
                  <c:v>551</c:v>
                </c:pt>
                <c:pt idx="152">
                  <c:v>552</c:v>
                </c:pt>
                <c:pt idx="153">
                  <c:v>553</c:v>
                </c:pt>
                <c:pt idx="154">
                  <c:v>554</c:v>
                </c:pt>
                <c:pt idx="155">
                  <c:v>555</c:v>
                </c:pt>
                <c:pt idx="156">
                  <c:v>556</c:v>
                </c:pt>
                <c:pt idx="157">
                  <c:v>557</c:v>
                </c:pt>
                <c:pt idx="158">
                  <c:v>558</c:v>
                </c:pt>
                <c:pt idx="159">
                  <c:v>559</c:v>
                </c:pt>
                <c:pt idx="160">
                  <c:v>560</c:v>
                </c:pt>
                <c:pt idx="161">
                  <c:v>561</c:v>
                </c:pt>
                <c:pt idx="162">
                  <c:v>562</c:v>
                </c:pt>
                <c:pt idx="163">
                  <c:v>563</c:v>
                </c:pt>
                <c:pt idx="164">
                  <c:v>564</c:v>
                </c:pt>
                <c:pt idx="165">
                  <c:v>565</c:v>
                </c:pt>
                <c:pt idx="166">
                  <c:v>566</c:v>
                </c:pt>
                <c:pt idx="167">
                  <c:v>567</c:v>
                </c:pt>
                <c:pt idx="168">
                  <c:v>568</c:v>
                </c:pt>
                <c:pt idx="169">
                  <c:v>569</c:v>
                </c:pt>
                <c:pt idx="170">
                  <c:v>570</c:v>
                </c:pt>
                <c:pt idx="171">
                  <c:v>571</c:v>
                </c:pt>
                <c:pt idx="172">
                  <c:v>572</c:v>
                </c:pt>
                <c:pt idx="173">
                  <c:v>573</c:v>
                </c:pt>
                <c:pt idx="174">
                  <c:v>574</c:v>
                </c:pt>
                <c:pt idx="175">
                  <c:v>575</c:v>
                </c:pt>
                <c:pt idx="176">
                  <c:v>576</c:v>
                </c:pt>
                <c:pt idx="177">
                  <c:v>577</c:v>
                </c:pt>
                <c:pt idx="178">
                  <c:v>578</c:v>
                </c:pt>
                <c:pt idx="179">
                  <c:v>579</c:v>
                </c:pt>
                <c:pt idx="180">
                  <c:v>580</c:v>
                </c:pt>
                <c:pt idx="181">
                  <c:v>581</c:v>
                </c:pt>
                <c:pt idx="182">
                  <c:v>582</c:v>
                </c:pt>
                <c:pt idx="183">
                  <c:v>583</c:v>
                </c:pt>
                <c:pt idx="184">
                  <c:v>584</c:v>
                </c:pt>
                <c:pt idx="185">
                  <c:v>585</c:v>
                </c:pt>
                <c:pt idx="186">
                  <c:v>586</c:v>
                </c:pt>
                <c:pt idx="187">
                  <c:v>587</c:v>
                </c:pt>
                <c:pt idx="188">
                  <c:v>588</c:v>
                </c:pt>
                <c:pt idx="189">
                  <c:v>589</c:v>
                </c:pt>
                <c:pt idx="190">
                  <c:v>590</c:v>
                </c:pt>
                <c:pt idx="191">
                  <c:v>591</c:v>
                </c:pt>
                <c:pt idx="192">
                  <c:v>592</c:v>
                </c:pt>
                <c:pt idx="193">
                  <c:v>593</c:v>
                </c:pt>
                <c:pt idx="194">
                  <c:v>594</c:v>
                </c:pt>
                <c:pt idx="195">
                  <c:v>595</c:v>
                </c:pt>
                <c:pt idx="196">
                  <c:v>596</c:v>
                </c:pt>
                <c:pt idx="197">
                  <c:v>597</c:v>
                </c:pt>
                <c:pt idx="198">
                  <c:v>598</c:v>
                </c:pt>
                <c:pt idx="199">
                  <c:v>599</c:v>
                </c:pt>
                <c:pt idx="200">
                  <c:v>600</c:v>
                </c:pt>
                <c:pt idx="201">
                  <c:v>601</c:v>
                </c:pt>
                <c:pt idx="202">
                  <c:v>602</c:v>
                </c:pt>
                <c:pt idx="203">
                  <c:v>603</c:v>
                </c:pt>
                <c:pt idx="204">
                  <c:v>604</c:v>
                </c:pt>
                <c:pt idx="205">
                  <c:v>605</c:v>
                </c:pt>
                <c:pt idx="206">
                  <c:v>606</c:v>
                </c:pt>
                <c:pt idx="207">
                  <c:v>607</c:v>
                </c:pt>
                <c:pt idx="208">
                  <c:v>608</c:v>
                </c:pt>
                <c:pt idx="209">
                  <c:v>609</c:v>
                </c:pt>
                <c:pt idx="210">
                  <c:v>610</c:v>
                </c:pt>
                <c:pt idx="211">
                  <c:v>611</c:v>
                </c:pt>
                <c:pt idx="212">
                  <c:v>612</c:v>
                </c:pt>
                <c:pt idx="213">
                  <c:v>613</c:v>
                </c:pt>
                <c:pt idx="214">
                  <c:v>614</c:v>
                </c:pt>
                <c:pt idx="215">
                  <c:v>615</c:v>
                </c:pt>
                <c:pt idx="216">
                  <c:v>616</c:v>
                </c:pt>
                <c:pt idx="217">
                  <c:v>617</c:v>
                </c:pt>
                <c:pt idx="218">
                  <c:v>618</c:v>
                </c:pt>
                <c:pt idx="219">
                  <c:v>619</c:v>
                </c:pt>
                <c:pt idx="220">
                  <c:v>620</c:v>
                </c:pt>
                <c:pt idx="221">
                  <c:v>621</c:v>
                </c:pt>
                <c:pt idx="222">
                  <c:v>622</c:v>
                </c:pt>
                <c:pt idx="223">
                  <c:v>623</c:v>
                </c:pt>
                <c:pt idx="224">
                  <c:v>624</c:v>
                </c:pt>
                <c:pt idx="225">
                  <c:v>625</c:v>
                </c:pt>
                <c:pt idx="226">
                  <c:v>626</c:v>
                </c:pt>
                <c:pt idx="227">
                  <c:v>627</c:v>
                </c:pt>
                <c:pt idx="228">
                  <c:v>628</c:v>
                </c:pt>
                <c:pt idx="229">
                  <c:v>629</c:v>
                </c:pt>
                <c:pt idx="230">
                  <c:v>630</c:v>
                </c:pt>
                <c:pt idx="231">
                  <c:v>631</c:v>
                </c:pt>
                <c:pt idx="232">
                  <c:v>632</c:v>
                </c:pt>
                <c:pt idx="233">
                  <c:v>633</c:v>
                </c:pt>
                <c:pt idx="234">
                  <c:v>634</c:v>
                </c:pt>
                <c:pt idx="235">
                  <c:v>635</c:v>
                </c:pt>
                <c:pt idx="236">
                  <c:v>636</c:v>
                </c:pt>
                <c:pt idx="237">
                  <c:v>637</c:v>
                </c:pt>
                <c:pt idx="238">
                  <c:v>638</c:v>
                </c:pt>
                <c:pt idx="239">
                  <c:v>639</c:v>
                </c:pt>
                <c:pt idx="240">
                  <c:v>640</c:v>
                </c:pt>
                <c:pt idx="241">
                  <c:v>641</c:v>
                </c:pt>
                <c:pt idx="242">
                  <c:v>642</c:v>
                </c:pt>
                <c:pt idx="243">
                  <c:v>643</c:v>
                </c:pt>
                <c:pt idx="244">
                  <c:v>644</c:v>
                </c:pt>
                <c:pt idx="245">
                  <c:v>645</c:v>
                </c:pt>
                <c:pt idx="246">
                  <c:v>646</c:v>
                </c:pt>
                <c:pt idx="247">
                  <c:v>647</c:v>
                </c:pt>
                <c:pt idx="248">
                  <c:v>648</c:v>
                </c:pt>
                <c:pt idx="249">
                  <c:v>649</c:v>
                </c:pt>
                <c:pt idx="250">
                  <c:v>650</c:v>
                </c:pt>
                <c:pt idx="251">
                  <c:v>651</c:v>
                </c:pt>
                <c:pt idx="252">
                  <c:v>652</c:v>
                </c:pt>
                <c:pt idx="253">
                  <c:v>653</c:v>
                </c:pt>
                <c:pt idx="254">
                  <c:v>654</c:v>
                </c:pt>
                <c:pt idx="255">
                  <c:v>655</c:v>
                </c:pt>
                <c:pt idx="256">
                  <c:v>656</c:v>
                </c:pt>
                <c:pt idx="257">
                  <c:v>657</c:v>
                </c:pt>
                <c:pt idx="258">
                  <c:v>658</c:v>
                </c:pt>
                <c:pt idx="259">
                  <c:v>659</c:v>
                </c:pt>
                <c:pt idx="260">
                  <c:v>660</c:v>
                </c:pt>
                <c:pt idx="261">
                  <c:v>661</c:v>
                </c:pt>
                <c:pt idx="262">
                  <c:v>662</c:v>
                </c:pt>
                <c:pt idx="263">
                  <c:v>663</c:v>
                </c:pt>
                <c:pt idx="264">
                  <c:v>664</c:v>
                </c:pt>
                <c:pt idx="265">
                  <c:v>665</c:v>
                </c:pt>
                <c:pt idx="266">
                  <c:v>666</c:v>
                </c:pt>
                <c:pt idx="267">
                  <c:v>667</c:v>
                </c:pt>
                <c:pt idx="268">
                  <c:v>668</c:v>
                </c:pt>
                <c:pt idx="269">
                  <c:v>669</c:v>
                </c:pt>
                <c:pt idx="270">
                  <c:v>670</c:v>
                </c:pt>
                <c:pt idx="271">
                  <c:v>671</c:v>
                </c:pt>
                <c:pt idx="272">
                  <c:v>672</c:v>
                </c:pt>
                <c:pt idx="273">
                  <c:v>673</c:v>
                </c:pt>
                <c:pt idx="274">
                  <c:v>674</c:v>
                </c:pt>
                <c:pt idx="275">
                  <c:v>675</c:v>
                </c:pt>
                <c:pt idx="276">
                  <c:v>676</c:v>
                </c:pt>
                <c:pt idx="277">
                  <c:v>677</c:v>
                </c:pt>
                <c:pt idx="278">
                  <c:v>678</c:v>
                </c:pt>
                <c:pt idx="279">
                  <c:v>679</c:v>
                </c:pt>
                <c:pt idx="280">
                  <c:v>680</c:v>
                </c:pt>
                <c:pt idx="281">
                  <c:v>681</c:v>
                </c:pt>
                <c:pt idx="282">
                  <c:v>682</c:v>
                </c:pt>
                <c:pt idx="283">
                  <c:v>683</c:v>
                </c:pt>
                <c:pt idx="284">
                  <c:v>684</c:v>
                </c:pt>
                <c:pt idx="285">
                  <c:v>685</c:v>
                </c:pt>
                <c:pt idx="286">
                  <c:v>686</c:v>
                </c:pt>
                <c:pt idx="287">
                  <c:v>687</c:v>
                </c:pt>
                <c:pt idx="288">
                  <c:v>688</c:v>
                </c:pt>
                <c:pt idx="289">
                  <c:v>689</c:v>
                </c:pt>
                <c:pt idx="290">
                  <c:v>690</c:v>
                </c:pt>
                <c:pt idx="291">
                  <c:v>691</c:v>
                </c:pt>
                <c:pt idx="292">
                  <c:v>692</c:v>
                </c:pt>
                <c:pt idx="293">
                  <c:v>693</c:v>
                </c:pt>
                <c:pt idx="294">
                  <c:v>694</c:v>
                </c:pt>
                <c:pt idx="295">
                  <c:v>695</c:v>
                </c:pt>
                <c:pt idx="296">
                  <c:v>696</c:v>
                </c:pt>
                <c:pt idx="297">
                  <c:v>697</c:v>
                </c:pt>
                <c:pt idx="298">
                  <c:v>698</c:v>
                </c:pt>
                <c:pt idx="299">
                  <c:v>699</c:v>
                </c:pt>
                <c:pt idx="300">
                  <c:v>700</c:v>
                </c:pt>
                <c:pt idx="301">
                  <c:v>701</c:v>
                </c:pt>
                <c:pt idx="302">
                  <c:v>702</c:v>
                </c:pt>
                <c:pt idx="303">
                  <c:v>703</c:v>
                </c:pt>
                <c:pt idx="304">
                  <c:v>704</c:v>
                </c:pt>
                <c:pt idx="305">
                  <c:v>705</c:v>
                </c:pt>
                <c:pt idx="306">
                  <c:v>706</c:v>
                </c:pt>
                <c:pt idx="307">
                  <c:v>707</c:v>
                </c:pt>
                <c:pt idx="308">
                  <c:v>708</c:v>
                </c:pt>
                <c:pt idx="309">
                  <c:v>709</c:v>
                </c:pt>
                <c:pt idx="310">
                  <c:v>710</c:v>
                </c:pt>
                <c:pt idx="311">
                  <c:v>711</c:v>
                </c:pt>
                <c:pt idx="312">
                  <c:v>712</c:v>
                </c:pt>
                <c:pt idx="313">
                  <c:v>713</c:v>
                </c:pt>
                <c:pt idx="314">
                  <c:v>714</c:v>
                </c:pt>
                <c:pt idx="315">
                  <c:v>715</c:v>
                </c:pt>
                <c:pt idx="316">
                  <c:v>716</c:v>
                </c:pt>
                <c:pt idx="317">
                  <c:v>717</c:v>
                </c:pt>
                <c:pt idx="318">
                  <c:v>718</c:v>
                </c:pt>
                <c:pt idx="319">
                  <c:v>719</c:v>
                </c:pt>
                <c:pt idx="320">
                  <c:v>720</c:v>
                </c:pt>
                <c:pt idx="321">
                  <c:v>721</c:v>
                </c:pt>
                <c:pt idx="322">
                  <c:v>722</c:v>
                </c:pt>
                <c:pt idx="323">
                  <c:v>723</c:v>
                </c:pt>
                <c:pt idx="324">
                  <c:v>724</c:v>
                </c:pt>
                <c:pt idx="325">
                  <c:v>725</c:v>
                </c:pt>
                <c:pt idx="326">
                  <c:v>726</c:v>
                </c:pt>
                <c:pt idx="327">
                  <c:v>727</c:v>
                </c:pt>
                <c:pt idx="328">
                  <c:v>728</c:v>
                </c:pt>
                <c:pt idx="329">
                  <c:v>729</c:v>
                </c:pt>
                <c:pt idx="330">
                  <c:v>730</c:v>
                </c:pt>
                <c:pt idx="331">
                  <c:v>731</c:v>
                </c:pt>
                <c:pt idx="332">
                  <c:v>732</c:v>
                </c:pt>
                <c:pt idx="333">
                  <c:v>733</c:v>
                </c:pt>
                <c:pt idx="334">
                  <c:v>734</c:v>
                </c:pt>
                <c:pt idx="335">
                  <c:v>735</c:v>
                </c:pt>
                <c:pt idx="336">
                  <c:v>736</c:v>
                </c:pt>
                <c:pt idx="337">
                  <c:v>737</c:v>
                </c:pt>
                <c:pt idx="338">
                  <c:v>738</c:v>
                </c:pt>
                <c:pt idx="339">
                  <c:v>739</c:v>
                </c:pt>
                <c:pt idx="340">
                  <c:v>740</c:v>
                </c:pt>
                <c:pt idx="341">
                  <c:v>741</c:v>
                </c:pt>
                <c:pt idx="342">
                  <c:v>742</c:v>
                </c:pt>
                <c:pt idx="343">
                  <c:v>743</c:v>
                </c:pt>
                <c:pt idx="344">
                  <c:v>744</c:v>
                </c:pt>
                <c:pt idx="345">
                  <c:v>745</c:v>
                </c:pt>
                <c:pt idx="346">
                  <c:v>746</c:v>
                </c:pt>
                <c:pt idx="347">
                  <c:v>747</c:v>
                </c:pt>
                <c:pt idx="348">
                  <c:v>748</c:v>
                </c:pt>
                <c:pt idx="349">
                  <c:v>749</c:v>
                </c:pt>
                <c:pt idx="350">
                  <c:v>750</c:v>
                </c:pt>
                <c:pt idx="351">
                  <c:v>751</c:v>
                </c:pt>
                <c:pt idx="352">
                  <c:v>752</c:v>
                </c:pt>
                <c:pt idx="353">
                  <c:v>753</c:v>
                </c:pt>
                <c:pt idx="354">
                  <c:v>754</c:v>
                </c:pt>
                <c:pt idx="355">
                  <c:v>755</c:v>
                </c:pt>
                <c:pt idx="356">
                  <c:v>756</c:v>
                </c:pt>
                <c:pt idx="357">
                  <c:v>757</c:v>
                </c:pt>
                <c:pt idx="358">
                  <c:v>758</c:v>
                </c:pt>
                <c:pt idx="359">
                  <c:v>759</c:v>
                </c:pt>
                <c:pt idx="360">
                  <c:v>760</c:v>
                </c:pt>
                <c:pt idx="361">
                  <c:v>761</c:v>
                </c:pt>
                <c:pt idx="362">
                  <c:v>762</c:v>
                </c:pt>
                <c:pt idx="363">
                  <c:v>763</c:v>
                </c:pt>
                <c:pt idx="364">
                  <c:v>764</c:v>
                </c:pt>
                <c:pt idx="365">
                  <c:v>765</c:v>
                </c:pt>
                <c:pt idx="366">
                  <c:v>766</c:v>
                </c:pt>
                <c:pt idx="367">
                  <c:v>767</c:v>
                </c:pt>
                <c:pt idx="368">
                  <c:v>768</c:v>
                </c:pt>
                <c:pt idx="369">
                  <c:v>769</c:v>
                </c:pt>
                <c:pt idx="370">
                  <c:v>770</c:v>
                </c:pt>
                <c:pt idx="371">
                  <c:v>771</c:v>
                </c:pt>
                <c:pt idx="372">
                  <c:v>772</c:v>
                </c:pt>
                <c:pt idx="373">
                  <c:v>773</c:v>
                </c:pt>
                <c:pt idx="374">
                  <c:v>774</c:v>
                </c:pt>
                <c:pt idx="375">
                  <c:v>775</c:v>
                </c:pt>
                <c:pt idx="376">
                  <c:v>776</c:v>
                </c:pt>
                <c:pt idx="377">
                  <c:v>777</c:v>
                </c:pt>
                <c:pt idx="378">
                  <c:v>778</c:v>
                </c:pt>
                <c:pt idx="379">
                  <c:v>779</c:v>
                </c:pt>
                <c:pt idx="380">
                  <c:v>780</c:v>
                </c:pt>
                <c:pt idx="381">
                  <c:v>781</c:v>
                </c:pt>
                <c:pt idx="382">
                  <c:v>782</c:v>
                </c:pt>
                <c:pt idx="383">
                  <c:v>783</c:v>
                </c:pt>
                <c:pt idx="384">
                  <c:v>784</c:v>
                </c:pt>
                <c:pt idx="385">
                  <c:v>785</c:v>
                </c:pt>
                <c:pt idx="386">
                  <c:v>786</c:v>
                </c:pt>
                <c:pt idx="387">
                  <c:v>787</c:v>
                </c:pt>
                <c:pt idx="388">
                  <c:v>788</c:v>
                </c:pt>
                <c:pt idx="389">
                  <c:v>789</c:v>
                </c:pt>
                <c:pt idx="390">
                  <c:v>790</c:v>
                </c:pt>
                <c:pt idx="391">
                  <c:v>791</c:v>
                </c:pt>
                <c:pt idx="392">
                  <c:v>792</c:v>
                </c:pt>
                <c:pt idx="393">
                  <c:v>793</c:v>
                </c:pt>
                <c:pt idx="394">
                  <c:v>794</c:v>
                </c:pt>
                <c:pt idx="395">
                  <c:v>795</c:v>
                </c:pt>
                <c:pt idx="396">
                  <c:v>796</c:v>
                </c:pt>
                <c:pt idx="397">
                  <c:v>797</c:v>
                </c:pt>
                <c:pt idx="398">
                  <c:v>798</c:v>
                </c:pt>
                <c:pt idx="399">
                  <c:v>799</c:v>
                </c:pt>
                <c:pt idx="400">
                  <c:v>800</c:v>
                </c:pt>
                <c:pt idx="401">
                  <c:v>630</c:v>
                </c:pt>
                <c:pt idx="402">
                  <c:v>630</c:v>
                </c:pt>
              </c:numCache>
            </c:numRef>
          </c:xVal>
          <c:yVal>
            <c:numRef>
              <c:f>Sheet1!$H$2:$H$404</c:f>
              <c:numCache>
                <c:formatCode>General</c:formatCode>
                <c:ptCount val="403"/>
                <c:pt idx="0">
                  <c:v>0.2524</c:v>
                </c:pt>
                <c:pt idx="1">
                  <c:v>0.2466</c:v>
                </c:pt>
                <c:pt idx="2">
                  <c:v>0.256</c:v>
                </c:pt>
                <c:pt idx="3">
                  <c:v>0.2535</c:v>
                </c:pt>
                <c:pt idx="4">
                  <c:v>0.267</c:v>
                </c:pt>
                <c:pt idx="5">
                  <c:v>0.264</c:v>
                </c:pt>
                <c:pt idx="6">
                  <c:v>0.2737</c:v>
                </c:pt>
                <c:pt idx="7">
                  <c:v>0.2744</c:v>
                </c:pt>
                <c:pt idx="8">
                  <c:v>0.2782</c:v>
                </c:pt>
                <c:pt idx="9">
                  <c:v>0.2804</c:v>
                </c:pt>
                <c:pt idx="10">
                  <c:v>0.2861</c:v>
                </c:pt>
                <c:pt idx="11">
                  <c:v>0.2856</c:v>
                </c:pt>
                <c:pt idx="12">
                  <c:v>0.2925</c:v>
                </c:pt>
                <c:pt idx="13">
                  <c:v>0.292800000000001</c:v>
                </c:pt>
                <c:pt idx="14">
                  <c:v>0.2922</c:v>
                </c:pt>
                <c:pt idx="15">
                  <c:v>0.2976</c:v>
                </c:pt>
                <c:pt idx="16">
                  <c:v>0.2991</c:v>
                </c:pt>
                <c:pt idx="17">
                  <c:v>0.3056</c:v>
                </c:pt>
                <c:pt idx="18">
                  <c:v>0.3096</c:v>
                </c:pt>
                <c:pt idx="19">
                  <c:v>0.3086</c:v>
                </c:pt>
                <c:pt idx="20">
                  <c:v>0.3192</c:v>
                </c:pt>
                <c:pt idx="21">
                  <c:v>0.3187</c:v>
                </c:pt>
                <c:pt idx="22">
                  <c:v>0.326300000000001</c:v>
                </c:pt>
                <c:pt idx="23">
                  <c:v>0.3276</c:v>
                </c:pt>
                <c:pt idx="24">
                  <c:v>0.332600000000001</c:v>
                </c:pt>
                <c:pt idx="25">
                  <c:v>0.3312</c:v>
                </c:pt>
                <c:pt idx="26">
                  <c:v>0.335500000000001</c:v>
                </c:pt>
                <c:pt idx="27">
                  <c:v>0.3372</c:v>
                </c:pt>
                <c:pt idx="28">
                  <c:v>0.341</c:v>
                </c:pt>
                <c:pt idx="29">
                  <c:v>0.3456</c:v>
                </c:pt>
                <c:pt idx="30">
                  <c:v>0.3498</c:v>
                </c:pt>
                <c:pt idx="31">
                  <c:v>0.3532</c:v>
                </c:pt>
                <c:pt idx="32">
                  <c:v>0.3565</c:v>
                </c:pt>
                <c:pt idx="33">
                  <c:v>0.3632</c:v>
                </c:pt>
                <c:pt idx="34">
                  <c:v>0.3654</c:v>
                </c:pt>
                <c:pt idx="35">
                  <c:v>0.3696</c:v>
                </c:pt>
                <c:pt idx="36">
                  <c:v>0.375300000000001</c:v>
                </c:pt>
                <c:pt idx="37">
                  <c:v>0.375900000000001</c:v>
                </c:pt>
                <c:pt idx="38">
                  <c:v>0.383800000000001</c:v>
                </c:pt>
                <c:pt idx="39">
                  <c:v>0.383800000000001</c:v>
                </c:pt>
                <c:pt idx="40">
                  <c:v>0.390300000000001</c:v>
                </c:pt>
                <c:pt idx="41">
                  <c:v>0.394600000000001</c:v>
                </c:pt>
                <c:pt idx="42">
                  <c:v>0.396600000000001</c:v>
                </c:pt>
                <c:pt idx="43">
                  <c:v>0.4009</c:v>
                </c:pt>
                <c:pt idx="44">
                  <c:v>0.4045</c:v>
                </c:pt>
                <c:pt idx="45">
                  <c:v>0.4068</c:v>
                </c:pt>
                <c:pt idx="46">
                  <c:v>0.4134</c:v>
                </c:pt>
                <c:pt idx="47">
                  <c:v>0.414</c:v>
                </c:pt>
                <c:pt idx="48">
                  <c:v>0.418800000000001</c:v>
                </c:pt>
                <c:pt idx="49">
                  <c:v>0.4201</c:v>
                </c:pt>
                <c:pt idx="50">
                  <c:v>0.426800000000001</c:v>
                </c:pt>
                <c:pt idx="51">
                  <c:v>0.43</c:v>
                </c:pt>
                <c:pt idx="52">
                  <c:v>0.429300000000001</c:v>
                </c:pt>
                <c:pt idx="53">
                  <c:v>0.435900000000001</c:v>
                </c:pt>
                <c:pt idx="54">
                  <c:v>0.436400000000001</c:v>
                </c:pt>
                <c:pt idx="55">
                  <c:v>0.441</c:v>
                </c:pt>
                <c:pt idx="56">
                  <c:v>0.4434</c:v>
                </c:pt>
                <c:pt idx="57">
                  <c:v>0.446</c:v>
                </c:pt>
                <c:pt idx="58">
                  <c:v>0.452</c:v>
                </c:pt>
                <c:pt idx="59">
                  <c:v>0.4533</c:v>
                </c:pt>
                <c:pt idx="60">
                  <c:v>0.4569</c:v>
                </c:pt>
                <c:pt idx="61">
                  <c:v>0.4609</c:v>
                </c:pt>
                <c:pt idx="62">
                  <c:v>0.4623</c:v>
                </c:pt>
                <c:pt idx="63">
                  <c:v>0.4675</c:v>
                </c:pt>
                <c:pt idx="64">
                  <c:v>0.4711</c:v>
                </c:pt>
                <c:pt idx="65">
                  <c:v>0.4733</c:v>
                </c:pt>
                <c:pt idx="66">
                  <c:v>0.4771</c:v>
                </c:pt>
                <c:pt idx="67">
                  <c:v>0.479</c:v>
                </c:pt>
                <c:pt idx="68">
                  <c:v>0.4824</c:v>
                </c:pt>
                <c:pt idx="69">
                  <c:v>0.4865</c:v>
                </c:pt>
                <c:pt idx="70">
                  <c:v>0.4867</c:v>
                </c:pt>
                <c:pt idx="71">
                  <c:v>0.4915</c:v>
                </c:pt>
                <c:pt idx="72">
                  <c:v>0.494400000000001</c:v>
                </c:pt>
                <c:pt idx="73">
                  <c:v>0.4965</c:v>
                </c:pt>
                <c:pt idx="74">
                  <c:v>0.5018</c:v>
                </c:pt>
                <c:pt idx="75">
                  <c:v>0.5018</c:v>
                </c:pt>
                <c:pt idx="76">
                  <c:v>0.5051</c:v>
                </c:pt>
                <c:pt idx="77">
                  <c:v>0.508</c:v>
                </c:pt>
                <c:pt idx="78">
                  <c:v>0.5098</c:v>
                </c:pt>
                <c:pt idx="79">
                  <c:v>0.5153</c:v>
                </c:pt>
                <c:pt idx="80">
                  <c:v>0.5175</c:v>
                </c:pt>
                <c:pt idx="81">
                  <c:v>0.5224</c:v>
                </c:pt>
                <c:pt idx="82">
                  <c:v>0.5248</c:v>
                </c:pt>
                <c:pt idx="83">
                  <c:v>0.527600000000002</c:v>
                </c:pt>
                <c:pt idx="84">
                  <c:v>0.5308</c:v>
                </c:pt>
                <c:pt idx="85">
                  <c:v>0.5351</c:v>
                </c:pt>
                <c:pt idx="86">
                  <c:v>0.5358</c:v>
                </c:pt>
                <c:pt idx="87">
                  <c:v>0.5401</c:v>
                </c:pt>
                <c:pt idx="88">
                  <c:v>0.5415</c:v>
                </c:pt>
                <c:pt idx="89">
                  <c:v>0.544600000000001</c:v>
                </c:pt>
                <c:pt idx="90">
                  <c:v>0.548</c:v>
                </c:pt>
                <c:pt idx="91">
                  <c:v>0.5514</c:v>
                </c:pt>
                <c:pt idx="92">
                  <c:v>0.553900000000001</c:v>
                </c:pt>
                <c:pt idx="93">
                  <c:v>0.5583</c:v>
                </c:pt>
                <c:pt idx="94">
                  <c:v>0.560900000000001</c:v>
                </c:pt>
                <c:pt idx="95">
                  <c:v>0.5654</c:v>
                </c:pt>
                <c:pt idx="96">
                  <c:v>0.568600000000001</c:v>
                </c:pt>
                <c:pt idx="97">
                  <c:v>0.571800000000001</c:v>
                </c:pt>
                <c:pt idx="98">
                  <c:v>0.5745</c:v>
                </c:pt>
                <c:pt idx="99">
                  <c:v>0.578100000000001</c:v>
                </c:pt>
                <c:pt idx="100">
                  <c:v>0.554700000000001</c:v>
                </c:pt>
                <c:pt idx="101">
                  <c:v>0.5583</c:v>
                </c:pt>
                <c:pt idx="102">
                  <c:v>0.559800000000001</c:v>
                </c:pt>
                <c:pt idx="103">
                  <c:v>0.563000000000001</c:v>
                </c:pt>
                <c:pt idx="104">
                  <c:v>0.5663</c:v>
                </c:pt>
                <c:pt idx="105">
                  <c:v>0.5695</c:v>
                </c:pt>
                <c:pt idx="106">
                  <c:v>0.571800000000001</c:v>
                </c:pt>
                <c:pt idx="107">
                  <c:v>0.5762</c:v>
                </c:pt>
                <c:pt idx="108">
                  <c:v>0.578800000000001</c:v>
                </c:pt>
                <c:pt idx="109">
                  <c:v>0.5826</c:v>
                </c:pt>
                <c:pt idx="110">
                  <c:v>0.5859</c:v>
                </c:pt>
                <c:pt idx="111">
                  <c:v>0.5871</c:v>
                </c:pt>
                <c:pt idx="112">
                  <c:v>0.5901</c:v>
                </c:pt>
                <c:pt idx="113">
                  <c:v>0.5924</c:v>
                </c:pt>
                <c:pt idx="114">
                  <c:v>0.5932</c:v>
                </c:pt>
                <c:pt idx="115">
                  <c:v>0.5947</c:v>
                </c:pt>
                <c:pt idx="116">
                  <c:v>0.5965</c:v>
                </c:pt>
                <c:pt idx="117">
                  <c:v>0.599</c:v>
                </c:pt>
                <c:pt idx="118">
                  <c:v>0.6015</c:v>
                </c:pt>
                <c:pt idx="119">
                  <c:v>0.603000000000001</c:v>
                </c:pt>
                <c:pt idx="120">
                  <c:v>0.604800000000001</c:v>
                </c:pt>
                <c:pt idx="121">
                  <c:v>0.607100000000001</c:v>
                </c:pt>
                <c:pt idx="122">
                  <c:v>0.608100000000001</c:v>
                </c:pt>
                <c:pt idx="123">
                  <c:v>0.6115</c:v>
                </c:pt>
                <c:pt idx="124">
                  <c:v>0.611800000000001</c:v>
                </c:pt>
                <c:pt idx="125">
                  <c:v>0.613200000000002</c:v>
                </c:pt>
                <c:pt idx="126">
                  <c:v>0.6135</c:v>
                </c:pt>
                <c:pt idx="127">
                  <c:v>0.615300000000002</c:v>
                </c:pt>
                <c:pt idx="128">
                  <c:v>0.614400000000002</c:v>
                </c:pt>
                <c:pt idx="129">
                  <c:v>0.617000000000001</c:v>
                </c:pt>
                <c:pt idx="130">
                  <c:v>0.615400000000002</c:v>
                </c:pt>
                <c:pt idx="131">
                  <c:v>0.616400000000001</c:v>
                </c:pt>
                <c:pt idx="132">
                  <c:v>0.618100000000001</c:v>
                </c:pt>
                <c:pt idx="133">
                  <c:v>0.617000000000001</c:v>
                </c:pt>
                <c:pt idx="134">
                  <c:v>0.618000000000001</c:v>
                </c:pt>
                <c:pt idx="135">
                  <c:v>0.618100000000001</c:v>
                </c:pt>
                <c:pt idx="136">
                  <c:v>0.617900000000001</c:v>
                </c:pt>
                <c:pt idx="137">
                  <c:v>0.618800000000001</c:v>
                </c:pt>
                <c:pt idx="138">
                  <c:v>0.617200000000001</c:v>
                </c:pt>
                <c:pt idx="139">
                  <c:v>0.617700000000002</c:v>
                </c:pt>
                <c:pt idx="140">
                  <c:v>0.617200000000001</c:v>
                </c:pt>
                <c:pt idx="141">
                  <c:v>0.616700000000002</c:v>
                </c:pt>
                <c:pt idx="142">
                  <c:v>0.615600000000001</c:v>
                </c:pt>
                <c:pt idx="143">
                  <c:v>0.615000000000001</c:v>
                </c:pt>
                <c:pt idx="144">
                  <c:v>0.614300000000001</c:v>
                </c:pt>
                <c:pt idx="145">
                  <c:v>0.612100000000001</c:v>
                </c:pt>
                <c:pt idx="146">
                  <c:v>0.610900000000001</c:v>
                </c:pt>
                <c:pt idx="147">
                  <c:v>0.609800000000001</c:v>
                </c:pt>
                <c:pt idx="148">
                  <c:v>0.607100000000002</c:v>
                </c:pt>
                <c:pt idx="149">
                  <c:v>0.607100000000001</c:v>
                </c:pt>
                <c:pt idx="150">
                  <c:v>0.6035</c:v>
                </c:pt>
                <c:pt idx="151">
                  <c:v>0.6025</c:v>
                </c:pt>
                <c:pt idx="152">
                  <c:v>0.601800000000001</c:v>
                </c:pt>
                <c:pt idx="153">
                  <c:v>0.598</c:v>
                </c:pt>
                <c:pt idx="154">
                  <c:v>0.597399999999999</c:v>
                </c:pt>
                <c:pt idx="155">
                  <c:v>0.5937</c:v>
                </c:pt>
                <c:pt idx="156">
                  <c:v>0.5919</c:v>
                </c:pt>
                <c:pt idx="157">
                  <c:v>0.590299999999999</c:v>
                </c:pt>
                <c:pt idx="158">
                  <c:v>0.5874</c:v>
                </c:pt>
                <c:pt idx="159">
                  <c:v>0.584299999999998</c:v>
                </c:pt>
                <c:pt idx="160">
                  <c:v>0.5826</c:v>
                </c:pt>
                <c:pt idx="161">
                  <c:v>0.579800000000001</c:v>
                </c:pt>
                <c:pt idx="162">
                  <c:v>0.5773</c:v>
                </c:pt>
                <c:pt idx="163">
                  <c:v>0.5753</c:v>
                </c:pt>
                <c:pt idx="164">
                  <c:v>0.572000000000001</c:v>
                </c:pt>
                <c:pt idx="165">
                  <c:v>0.5693</c:v>
                </c:pt>
                <c:pt idx="166">
                  <c:v>0.5665</c:v>
                </c:pt>
                <c:pt idx="167">
                  <c:v>0.5621</c:v>
                </c:pt>
                <c:pt idx="168">
                  <c:v>0.559900000000002</c:v>
                </c:pt>
                <c:pt idx="169">
                  <c:v>0.5564</c:v>
                </c:pt>
                <c:pt idx="170">
                  <c:v>0.5531</c:v>
                </c:pt>
                <c:pt idx="171">
                  <c:v>0.5501</c:v>
                </c:pt>
                <c:pt idx="172">
                  <c:v>0.5461</c:v>
                </c:pt>
                <c:pt idx="173">
                  <c:v>0.5429</c:v>
                </c:pt>
                <c:pt idx="174">
                  <c:v>0.5412</c:v>
                </c:pt>
                <c:pt idx="175">
                  <c:v>0.5368</c:v>
                </c:pt>
                <c:pt idx="176">
                  <c:v>0.5349</c:v>
                </c:pt>
                <c:pt idx="177">
                  <c:v>0.530600000000001</c:v>
                </c:pt>
                <c:pt idx="178">
                  <c:v>0.5274</c:v>
                </c:pt>
                <c:pt idx="179">
                  <c:v>0.5241</c:v>
                </c:pt>
                <c:pt idx="180">
                  <c:v>0.520600000000001</c:v>
                </c:pt>
                <c:pt idx="181">
                  <c:v>0.5167</c:v>
                </c:pt>
                <c:pt idx="182">
                  <c:v>0.514</c:v>
                </c:pt>
                <c:pt idx="183">
                  <c:v>0.509</c:v>
                </c:pt>
                <c:pt idx="184">
                  <c:v>0.506599999999998</c:v>
                </c:pt>
                <c:pt idx="185">
                  <c:v>0.5015</c:v>
                </c:pt>
                <c:pt idx="186">
                  <c:v>0.498</c:v>
                </c:pt>
                <c:pt idx="187">
                  <c:v>0.4946</c:v>
                </c:pt>
                <c:pt idx="188">
                  <c:v>0.4922</c:v>
                </c:pt>
                <c:pt idx="189">
                  <c:v>0.4882</c:v>
                </c:pt>
                <c:pt idx="190">
                  <c:v>0.4856</c:v>
                </c:pt>
                <c:pt idx="191">
                  <c:v>0.4814</c:v>
                </c:pt>
                <c:pt idx="192">
                  <c:v>0.4783</c:v>
                </c:pt>
                <c:pt idx="193">
                  <c:v>0.4744</c:v>
                </c:pt>
                <c:pt idx="194">
                  <c:v>0.4704</c:v>
                </c:pt>
                <c:pt idx="195">
                  <c:v>0.4666</c:v>
                </c:pt>
                <c:pt idx="196">
                  <c:v>0.4627</c:v>
                </c:pt>
                <c:pt idx="197">
                  <c:v>0.4591</c:v>
                </c:pt>
                <c:pt idx="198">
                  <c:v>0.4549</c:v>
                </c:pt>
                <c:pt idx="199">
                  <c:v>0.4521</c:v>
                </c:pt>
                <c:pt idx="200">
                  <c:v>0.4481</c:v>
                </c:pt>
                <c:pt idx="201">
                  <c:v>0.4452</c:v>
                </c:pt>
                <c:pt idx="202">
                  <c:v>0.4415</c:v>
                </c:pt>
                <c:pt idx="203">
                  <c:v>0.438800000000001</c:v>
                </c:pt>
                <c:pt idx="204">
                  <c:v>0.434</c:v>
                </c:pt>
                <c:pt idx="205">
                  <c:v>0.4316</c:v>
                </c:pt>
                <c:pt idx="206">
                  <c:v>0.426800000000001</c:v>
                </c:pt>
                <c:pt idx="207">
                  <c:v>0.4237</c:v>
                </c:pt>
                <c:pt idx="208">
                  <c:v>0.4196</c:v>
                </c:pt>
                <c:pt idx="209">
                  <c:v>0.4156</c:v>
                </c:pt>
                <c:pt idx="210">
                  <c:v>0.4122</c:v>
                </c:pt>
                <c:pt idx="211">
                  <c:v>0.4087</c:v>
                </c:pt>
                <c:pt idx="212">
                  <c:v>0.4054</c:v>
                </c:pt>
                <c:pt idx="213">
                  <c:v>0.4021</c:v>
                </c:pt>
                <c:pt idx="214">
                  <c:v>0.399100000000001</c:v>
                </c:pt>
                <c:pt idx="215">
                  <c:v>0.396300000000001</c:v>
                </c:pt>
                <c:pt idx="216">
                  <c:v>0.392500000000001</c:v>
                </c:pt>
                <c:pt idx="217">
                  <c:v>0.3891</c:v>
                </c:pt>
                <c:pt idx="218">
                  <c:v>0.385400000000001</c:v>
                </c:pt>
                <c:pt idx="219">
                  <c:v>0.3822</c:v>
                </c:pt>
                <c:pt idx="220">
                  <c:v>0.3782</c:v>
                </c:pt>
                <c:pt idx="221">
                  <c:v>0.374900000000001</c:v>
                </c:pt>
                <c:pt idx="222">
                  <c:v>0.371400000000001</c:v>
                </c:pt>
                <c:pt idx="223">
                  <c:v>0.3677</c:v>
                </c:pt>
                <c:pt idx="224">
                  <c:v>0.3644</c:v>
                </c:pt>
                <c:pt idx="225">
                  <c:v>0.3616</c:v>
                </c:pt>
                <c:pt idx="226">
                  <c:v>0.357800000000001</c:v>
                </c:pt>
                <c:pt idx="227">
                  <c:v>0.3556</c:v>
                </c:pt>
                <c:pt idx="228">
                  <c:v>0.352</c:v>
                </c:pt>
                <c:pt idx="229">
                  <c:v>0.3491</c:v>
                </c:pt>
                <c:pt idx="230">
                  <c:v>0.3458</c:v>
                </c:pt>
                <c:pt idx="231">
                  <c:v>0.3425</c:v>
                </c:pt>
                <c:pt idx="232">
                  <c:v>0.3392</c:v>
                </c:pt>
                <c:pt idx="233">
                  <c:v>0.335900000000001</c:v>
                </c:pt>
                <c:pt idx="234">
                  <c:v>0.332100000000001</c:v>
                </c:pt>
                <c:pt idx="235">
                  <c:v>0.329300000000001</c:v>
                </c:pt>
                <c:pt idx="236">
                  <c:v>0.3257</c:v>
                </c:pt>
                <c:pt idx="237">
                  <c:v>0.323000000000001</c:v>
                </c:pt>
                <c:pt idx="238">
                  <c:v>0.3201</c:v>
                </c:pt>
                <c:pt idx="239">
                  <c:v>0.316800000000001</c:v>
                </c:pt>
                <c:pt idx="240">
                  <c:v>0.3152</c:v>
                </c:pt>
                <c:pt idx="241">
                  <c:v>0.312400000000001</c:v>
                </c:pt>
                <c:pt idx="242">
                  <c:v>0.3091</c:v>
                </c:pt>
                <c:pt idx="243">
                  <c:v>0.306800000000001</c:v>
                </c:pt>
                <c:pt idx="244">
                  <c:v>0.3036</c:v>
                </c:pt>
                <c:pt idx="245">
                  <c:v>0.3006</c:v>
                </c:pt>
                <c:pt idx="246">
                  <c:v>0.2976</c:v>
                </c:pt>
                <c:pt idx="247">
                  <c:v>0.2942</c:v>
                </c:pt>
                <c:pt idx="248">
                  <c:v>0.2914</c:v>
                </c:pt>
                <c:pt idx="249">
                  <c:v>0.2886</c:v>
                </c:pt>
                <c:pt idx="250">
                  <c:v>0.2857</c:v>
                </c:pt>
                <c:pt idx="251">
                  <c:v>0.2835</c:v>
                </c:pt>
                <c:pt idx="252">
                  <c:v>0.2803</c:v>
                </c:pt>
                <c:pt idx="253">
                  <c:v>0.2781</c:v>
                </c:pt>
                <c:pt idx="254">
                  <c:v>0.275</c:v>
                </c:pt>
                <c:pt idx="255">
                  <c:v>0.2722</c:v>
                </c:pt>
                <c:pt idx="256">
                  <c:v>0.2698</c:v>
                </c:pt>
                <c:pt idx="257">
                  <c:v>0.2667</c:v>
                </c:pt>
                <c:pt idx="258">
                  <c:v>0.264</c:v>
                </c:pt>
                <c:pt idx="259">
                  <c:v>0.261</c:v>
                </c:pt>
                <c:pt idx="260">
                  <c:v>0.2584</c:v>
                </c:pt>
                <c:pt idx="261">
                  <c:v>0.2556</c:v>
                </c:pt>
                <c:pt idx="262">
                  <c:v>0.2531</c:v>
                </c:pt>
                <c:pt idx="263">
                  <c:v>0.2506</c:v>
                </c:pt>
                <c:pt idx="264">
                  <c:v>0.2487</c:v>
                </c:pt>
                <c:pt idx="265">
                  <c:v>0.2459</c:v>
                </c:pt>
                <c:pt idx="266">
                  <c:v>0.2436</c:v>
                </c:pt>
                <c:pt idx="267">
                  <c:v>0.2408</c:v>
                </c:pt>
                <c:pt idx="268">
                  <c:v>0.2385</c:v>
                </c:pt>
                <c:pt idx="269">
                  <c:v>0.2359</c:v>
                </c:pt>
                <c:pt idx="270">
                  <c:v>0.2329</c:v>
                </c:pt>
                <c:pt idx="271">
                  <c:v>0.2303</c:v>
                </c:pt>
                <c:pt idx="272">
                  <c:v>0.2281</c:v>
                </c:pt>
                <c:pt idx="273">
                  <c:v>0.2256</c:v>
                </c:pt>
                <c:pt idx="274">
                  <c:v>0.2232</c:v>
                </c:pt>
                <c:pt idx="275">
                  <c:v>0.2212</c:v>
                </c:pt>
                <c:pt idx="276">
                  <c:v>0.2186</c:v>
                </c:pt>
                <c:pt idx="277">
                  <c:v>0.2166</c:v>
                </c:pt>
                <c:pt idx="278">
                  <c:v>0.2143</c:v>
                </c:pt>
                <c:pt idx="279">
                  <c:v>0.2116</c:v>
                </c:pt>
                <c:pt idx="280">
                  <c:v>0.2096</c:v>
                </c:pt>
                <c:pt idx="281">
                  <c:v>0.2071</c:v>
                </c:pt>
                <c:pt idx="282">
                  <c:v>0.205</c:v>
                </c:pt>
                <c:pt idx="283">
                  <c:v>0.2023</c:v>
                </c:pt>
                <c:pt idx="284">
                  <c:v>0.1998</c:v>
                </c:pt>
                <c:pt idx="285">
                  <c:v>0.1976</c:v>
                </c:pt>
                <c:pt idx="286">
                  <c:v>0.1953</c:v>
                </c:pt>
                <c:pt idx="287">
                  <c:v>0.1932</c:v>
                </c:pt>
                <c:pt idx="288">
                  <c:v>0.191</c:v>
                </c:pt>
                <c:pt idx="289">
                  <c:v>0.1891</c:v>
                </c:pt>
                <c:pt idx="290">
                  <c:v>0.1871</c:v>
                </c:pt>
                <c:pt idx="291">
                  <c:v>0.1851</c:v>
                </c:pt>
                <c:pt idx="292">
                  <c:v>0.1828</c:v>
                </c:pt>
                <c:pt idx="293">
                  <c:v>0.1811</c:v>
                </c:pt>
                <c:pt idx="294">
                  <c:v>0.1788</c:v>
                </c:pt>
                <c:pt idx="295">
                  <c:v>0.1766</c:v>
                </c:pt>
                <c:pt idx="296">
                  <c:v>0.1743</c:v>
                </c:pt>
                <c:pt idx="297">
                  <c:v>0.1721</c:v>
                </c:pt>
                <c:pt idx="298">
                  <c:v>0.1701</c:v>
                </c:pt>
                <c:pt idx="299">
                  <c:v>0.1681</c:v>
                </c:pt>
                <c:pt idx="300">
                  <c:v>0.166</c:v>
                </c:pt>
                <c:pt idx="301">
                  <c:v>0.1641</c:v>
                </c:pt>
                <c:pt idx="302">
                  <c:v>0.1622</c:v>
                </c:pt>
                <c:pt idx="303">
                  <c:v>0.1603</c:v>
                </c:pt>
                <c:pt idx="304">
                  <c:v>0.1585</c:v>
                </c:pt>
                <c:pt idx="305">
                  <c:v>0.1567</c:v>
                </c:pt>
                <c:pt idx="306">
                  <c:v>0.1545</c:v>
                </c:pt>
                <c:pt idx="307">
                  <c:v>0.1525</c:v>
                </c:pt>
                <c:pt idx="308">
                  <c:v>0.1507</c:v>
                </c:pt>
                <c:pt idx="309">
                  <c:v>0.1485</c:v>
                </c:pt>
                <c:pt idx="310">
                  <c:v>0.1467</c:v>
                </c:pt>
                <c:pt idx="311">
                  <c:v>0.1448</c:v>
                </c:pt>
                <c:pt idx="312">
                  <c:v>0.143</c:v>
                </c:pt>
                <c:pt idx="313">
                  <c:v>0.1413</c:v>
                </c:pt>
                <c:pt idx="314">
                  <c:v>0.1395</c:v>
                </c:pt>
                <c:pt idx="315">
                  <c:v>0.1376</c:v>
                </c:pt>
                <c:pt idx="316">
                  <c:v>0.1361</c:v>
                </c:pt>
                <c:pt idx="317">
                  <c:v>0.1338</c:v>
                </c:pt>
                <c:pt idx="318">
                  <c:v>0.1323</c:v>
                </c:pt>
                <c:pt idx="319">
                  <c:v>0.1304</c:v>
                </c:pt>
                <c:pt idx="320">
                  <c:v>0.1287</c:v>
                </c:pt>
                <c:pt idx="321">
                  <c:v>0.1269</c:v>
                </c:pt>
                <c:pt idx="322">
                  <c:v>0.1252</c:v>
                </c:pt>
                <c:pt idx="323">
                  <c:v>0.1234</c:v>
                </c:pt>
                <c:pt idx="324">
                  <c:v>0.1222</c:v>
                </c:pt>
                <c:pt idx="325">
                  <c:v>0.12</c:v>
                </c:pt>
                <c:pt idx="326">
                  <c:v>0.1189</c:v>
                </c:pt>
                <c:pt idx="327">
                  <c:v>0.1171</c:v>
                </c:pt>
                <c:pt idx="328">
                  <c:v>0.1156</c:v>
                </c:pt>
                <c:pt idx="329">
                  <c:v>0.1141</c:v>
                </c:pt>
                <c:pt idx="330">
                  <c:v>0.1122</c:v>
                </c:pt>
                <c:pt idx="331">
                  <c:v>0.1111</c:v>
                </c:pt>
                <c:pt idx="332">
                  <c:v>0.1095</c:v>
                </c:pt>
                <c:pt idx="333">
                  <c:v>0.1073</c:v>
                </c:pt>
                <c:pt idx="334">
                  <c:v>0.1064</c:v>
                </c:pt>
                <c:pt idx="335">
                  <c:v>0.1043</c:v>
                </c:pt>
                <c:pt idx="336">
                  <c:v>0.1031</c:v>
                </c:pt>
                <c:pt idx="337">
                  <c:v>0.1015</c:v>
                </c:pt>
                <c:pt idx="338">
                  <c:v>0.0999000000000001</c:v>
                </c:pt>
                <c:pt idx="339">
                  <c:v>0.0990000000000001</c:v>
                </c:pt>
                <c:pt idx="340">
                  <c:v>0.0974</c:v>
                </c:pt>
                <c:pt idx="341">
                  <c:v>0.0960000000000001</c:v>
                </c:pt>
                <c:pt idx="342">
                  <c:v>0.0946000000000002</c:v>
                </c:pt>
                <c:pt idx="343">
                  <c:v>0.0927</c:v>
                </c:pt>
                <c:pt idx="344">
                  <c:v>0.0919</c:v>
                </c:pt>
                <c:pt idx="345">
                  <c:v>0.0901</c:v>
                </c:pt>
                <c:pt idx="346">
                  <c:v>0.0887000000000003</c:v>
                </c:pt>
                <c:pt idx="347">
                  <c:v>0.0875000000000001</c:v>
                </c:pt>
                <c:pt idx="348">
                  <c:v>0.0859</c:v>
                </c:pt>
                <c:pt idx="349">
                  <c:v>0.0851</c:v>
                </c:pt>
                <c:pt idx="350">
                  <c:v>0.0837000000000002</c:v>
                </c:pt>
                <c:pt idx="351">
                  <c:v>0.0821</c:v>
                </c:pt>
                <c:pt idx="352">
                  <c:v>0.0814</c:v>
                </c:pt>
                <c:pt idx="353">
                  <c:v>0.0801</c:v>
                </c:pt>
                <c:pt idx="354">
                  <c:v>0.0790000000000002</c:v>
                </c:pt>
                <c:pt idx="355">
                  <c:v>0.0779000000000001</c:v>
                </c:pt>
                <c:pt idx="356">
                  <c:v>0.0765</c:v>
                </c:pt>
                <c:pt idx="357">
                  <c:v>0.0755</c:v>
                </c:pt>
                <c:pt idx="358">
                  <c:v>0.0739</c:v>
                </c:pt>
                <c:pt idx="359">
                  <c:v>0.0728000000000001</c:v>
                </c:pt>
                <c:pt idx="360">
                  <c:v>0.0717</c:v>
                </c:pt>
                <c:pt idx="361">
                  <c:v>0.0705</c:v>
                </c:pt>
                <c:pt idx="362">
                  <c:v>0.0698000000000002</c:v>
                </c:pt>
                <c:pt idx="363">
                  <c:v>0.0686</c:v>
                </c:pt>
                <c:pt idx="364">
                  <c:v>0.0679</c:v>
                </c:pt>
                <c:pt idx="365">
                  <c:v>0.0666</c:v>
                </c:pt>
                <c:pt idx="366">
                  <c:v>0.0654</c:v>
                </c:pt>
                <c:pt idx="367">
                  <c:v>0.0647000000000002</c:v>
                </c:pt>
                <c:pt idx="368">
                  <c:v>0.0634</c:v>
                </c:pt>
                <c:pt idx="369">
                  <c:v>0.0624000000000001</c:v>
                </c:pt>
                <c:pt idx="370">
                  <c:v>0.0615</c:v>
                </c:pt>
                <c:pt idx="371">
                  <c:v>0.0604000000000001</c:v>
                </c:pt>
                <c:pt idx="372">
                  <c:v>0.0594000000000001</c:v>
                </c:pt>
                <c:pt idx="373">
                  <c:v>0.0588</c:v>
                </c:pt>
                <c:pt idx="374">
                  <c:v>0.0574000000000001</c:v>
                </c:pt>
                <c:pt idx="375">
                  <c:v>0.0570000000000001</c:v>
                </c:pt>
                <c:pt idx="376">
                  <c:v>0.0557000000000001</c:v>
                </c:pt>
                <c:pt idx="377">
                  <c:v>0.0551</c:v>
                </c:pt>
                <c:pt idx="378">
                  <c:v>0.0541000000000001</c:v>
                </c:pt>
                <c:pt idx="379">
                  <c:v>0.0533</c:v>
                </c:pt>
                <c:pt idx="380">
                  <c:v>0.0527000000000001</c:v>
                </c:pt>
                <c:pt idx="381">
                  <c:v>0.0513</c:v>
                </c:pt>
                <c:pt idx="382">
                  <c:v>0.051</c:v>
                </c:pt>
                <c:pt idx="383">
                  <c:v>0.05</c:v>
                </c:pt>
                <c:pt idx="384">
                  <c:v>0.0492</c:v>
                </c:pt>
                <c:pt idx="385">
                  <c:v>0.0485</c:v>
                </c:pt>
                <c:pt idx="386">
                  <c:v>0.0475</c:v>
                </c:pt>
                <c:pt idx="387">
                  <c:v>0.0468</c:v>
                </c:pt>
                <c:pt idx="388">
                  <c:v>0.0463</c:v>
                </c:pt>
                <c:pt idx="389">
                  <c:v>0.0455</c:v>
                </c:pt>
                <c:pt idx="390">
                  <c:v>0.0451</c:v>
                </c:pt>
                <c:pt idx="391">
                  <c:v>0.0441</c:v>
                </c:pt>
                <c:pt idx="392">
                  <c:v>0.0435</c:v>
                </c:pt>
                <c:pt idx="393">
                  <c:v>0.0427000000000001</c:v>
                </c:pt>
                <c:pt idx="394">
                  <c:v>0.0419</c:v>
                </c:pt>
                <c:pt idx="395">
                  <c:v>0.0412</c:v>
                </c:pt>
                <c:pt idx="396">
                  <c:v>0.0407</c:v>
                </c:pt>
                <c:pt idx="397">
                  <c:v>0.0397</c:v>
                </c:pt>
                <c:pt idx="398">
                  <c:v>0.0392</c:v>
                </c:pt>
                <c:pt idx="399">
                  <c:v>0.0388</c:v>
                </c:pt>
                <c:pt idx="400">
                  <c:v>0.0379</c:v>
                </c:pt>
              </c:numCache>
            </c:numRef>
          </c:yVal>
          <c:smooth val="1"/>
        </c:ser>
        <c:ser>
          <c:idx val="1"/>
          <c:order val="1"/>
          <c:tx>
            <c:strRef>
              <c:f>Sheet1!$I$1</c:f>
              <c:strCache>
                <c:ptCount val="1"/>
                <c:pt idx="0">
                  <c:v>直链最大吸收曲线</c:v>
                </c:pt>
              </c:strCache>
            </c:strRef>
          </c:tx>
          <c:spPr>
            <a:ln w="12700" cap="rnd" cmpd="sng" algn="ctr">
              <a:solidFill>
                <a:schemeClr val="accent2">
                  <a:shade val="76667"/>
                </a:schemeClr>
              </a:solidFill>
              <a:prstDash val="solid"/>
              <a:round/>
            </a:ln>
          </c:spPr>
          <c:marker>
            <c:symbol val="none"/>
          </c:marker>
          <c:dLbls>
            <c:delete val="1"/>
          </c:dLbls>
          <c:xVal>
            <c:numRef>
              <c:f>Sheet1!$F$2:$F$404</c:f>
              <c:numCache>
                <c:formatCode>General</c:formatCode>
                <c:ptCount val="403"/>
                <c:pt idx="0">
                  <c:v>400</c:v>
                </c:pt>
                <c:pt idx="1">
                  <c:v>401</c:v>
                </c:pt>
                <c:pt idx="2">
                  <c:v>402</c:v>
                </c:pt>
                <c:pt idx="3">
                  <c:v>403</c:v>
                </c:pt>
                <c:pt idx="4">
                  <c:v>404</c:v>
                </c:pt>
                <c:pt idx="5">
                  <c:v>405</c:v>
                </c:pt>
                <c:pt idx="6">
                  <c:v>406</c:v>
                </c:pt>
                <c:pt idx="7">
                  <c:v>407</c:v>
                </c:pt>
                <c:pt idx="8">
                  <c:v>408</c:v>
                </c:pt>
                <c:pt idx="9">
                  <c:v>409</c:v>
                </c:pt>
                <c:pt idx="10">
                  <c:v>410</c:v>
                </c:pt>
                <c:pt idx="11">
                  <c:v>411</c:v>
                </c:pt>
                <c:pt idx="12">
                  <c:v>412</c:v>
                </c:pt>
                <c:pt idx="13">
                  <c:v>413</c:v>
                </c:pt>
                <c:pt idx="14">
                  <c:v>414</c:v>
                </c:pt>
                <c:pt idx="15">
                  <c:v>415</c:v>
                </c:pt>
                <c:pt idx="16">
                  <c:v>416</c:v>
                </c:pt>
                <c:pt idx="17">
                  <c:v>417</c:v>
                </c:pt>
                <c:pt idx="18">
                  <c:v>418</c:v>
                </c:pt>
                <c:pt idx="19">
                  <c:v>419</c:v>
                </c:pt>
                <c:pt idx="20">
                  <c:v>420</c:v>
                </c:pt>
                <c:pt idx="21">
                  <c:v>421</c:v>
                </c:pt>
                <c:pt idx="22">
                  <c:v>422</c:v>
                </c:pt>
                <c:pt idx="23">
                  <c:v>423</c:v>
                </c:pt>
                <c:pt idx="24">
                  <c:v>424</c:v>
                </c:pt>
                <c:pt idx="25">
                  <c:v>425</c:v>
                </c:pt>
                <c:pt idx="26">
                  <c:v>426</c:v>
                </c:pt>
                <c:pt idx="27">
                  <c:v>427</c:v>
                </c:pt>
                <c:pt idx="28">
                  <c:v>428</c:v>
                </c:pt>
                <c:pt idx="29">
                  <c:v>429</c:v>
                </c:pt>
                <c:pt idx="30">
                  <c:v>430</c:v>
                </c:pt>
                <c:pt idx="31">
                  <c:v>431</c:v>
                </c:pt>
                <c:pt idx="32">
                  <c:v>432</c:v>
                </c:pt>
                <c:pt idx="33">
                  <c:v>433</c:v>
                </c:pt>
                <c:pt idx="34">
                  <c:v>434</c:v>
                </c:pt>
                <c:pt idx="35">
                  <c:v>435</c:v>
                </c:pt>
                <c:pt idx="36">
                  <c:v>436</c:v>
                </c:pt>
                <c:pt idx="37">
                  <c:v>437</c:v>
                </c:pt>
                <c:pt idx="38">
                  <c:v>438</c:v>
                </c:pt>
                <c:pt idx="39">
                  <c:v>439</c:v>
                </c:pt>
                <c:pt idx="40">
                  <c:v>440</c:v>
                </c:pt>
                <c:pt idx="41">
                  <c:v>441</c:v>
                </c:pt>
                <c:pt idx="42">
                  <c:v>442</c:v>
                </c:pt>
                <c:pt idx="43">
                  <c:v>443</c:v>
                </c:pt>
                <c:pt idx="44">
                  <c:v>444</c:v>
                </c:pt>
                <c:pt idx="45">
                  <c:v>445</c:v>
                </c:pt>
                <c:pt idx="46">
                  <c:v>446</c:v>
                </c:pt>
                <c:pt idx="47">
                  <c:v>447</c:v>
                </c:pt>
                <c:pt idx="48">
                  <c:v>448</c:v>
                </c:pt>
                <c:pt idx="49">
                  <c:v>449</c:v>
                </c:pt>
                <c:pt idx="50">
                  <c:v>450</c:v>
                </c:pt>
                <c:pt idx="51">
                  <c:v>451</c:v>
                </c:pt>
                <c:pt idx="52">
                  <c:v>452</c:v>
                </c:pt>
                <c:pt idx="53">
                  <c:v>453</c:v>
                </c:pt>
                <c:pt idx="54">
                  <c:v>454</c:v>
                </c:pt>
                <c:pt idx="55">
                  <c:v>455</c:v>
                </c:pt>
                <c:pt idx="56">
                  <c:v>456</c:v>
                </c:pt>
                <c:pt idx="57">
                  <c:v>457</c:v>
                </c:pt>
                <c:pt idx="58">
                  <c:v>458</c:v>
                </c:pt>
                <c:pt idx="59">
                  <c:v>459</c:v>
                </c:pt>
                <c:pt idx="60">
                  <c:v>460</c:v>
                </c:pt>
                <c:pt idx="61">
                  <c:v>461</c:v>
                </c:pt>
                <c:pt idx="62">
                  <c:v>462</c:v>
                </c:pt>
                <c:pt idx="63">
                  <c:v>463</c:v>
                </c:pt>
                <c:pt idx="64">
                  <c:v>464</c:v>
                </c:pt>
                <c:pt idx="65">
                  <c:v>465</c:v>
                </c:pt>
                <c:pt idx="66">
                  <c:v>466</c:v>
                </c:pt>
                <c:pt idx="67">
                  <c:v>467</c:v>
                </c:pt>
                <c:pt idx="68">
                  <c:v>468</c:v>
                </c:pt>
                <c:pt idx="69">
                  <c:v>469</c:v>
                </c:pt>
                <c:pt idx="70">
                  <c:v>470</c:v>
                </c:pt>
                <c:pt idx="71">
                  <c:v>471</c:v>
                </c:pt>
                <c:pt idx="72">
                  <c:v>472</c:v>
                </c:pt>
                <c:pt idx="73">
                  <c:v>473</c:v>
                </c:pt>
                <c:pt idx="74">
                  <c:v>474</c:v>
                </c:pt>
                <c:pt idx="75">
                  <c:v>475</c:v>
                </c:pt>
                <c:pt idx="76">
                  <c:v>476</c:v>
                </c:pt>
                <c:pt idx="77">
                  <c:v>477</c:v>
                </c:pt>
                <c:pt idx="78">
                  <c:v>478</c:v>
                </c:pt>
                <c:pt idx="79">
                  <c:v>479</c:v>
                </c:pt>
                <c:pt idx="80">
                  <c:v>480</c:v>
                </c:pt>
                <c:pt idx="81">
                  <c:v>481</c:v>
                </c:pt>
                <c:pt idx="82">
                  <c:v>482</c:v>
                </c:pt>
                <c:pt idx="83">
                  <c:v>483</c:v>
                </c:pt>
                <c:pt idx="84">
                  <c:v>484</c:v>
                </c:pt>
                <c:pt idx="85">
                  <c:v>485</c:v>
                </c:pt>
                <c:pt idx="86">
                  <c:v>486</c:v>
                </c:pt>
                <c:pt idx="87">
                  <c:v>487</c:v>
                </c:pt>
                <c:pt idx="88">
                  <c:v>488</c:v>
                </c:pt>
                <c:pt idx="89">
                  <c:v>489</c:v>
                </c:pt>
                <c:pt idx="90">
                  <c:v>490</c:v>
                </c:pt>
                <c:pt idx="91">
                  <c:v>491</c:v>
                </c:pt>
                <c:pt idx="92">
                  <c:v>492</c:v>
                </c:pt>
                <c:pt idx="93">
                  <c:v>493</c:v>
                </c:pt>
                <c:pt idx="94">
                  <c:v>494</c:v>
                </c:pt>
                <c:pt idx="95">
                  <c:v>495</c:v>
                </c:pt>
                <c:pt idx="96">
                  <c:v>496</c:v>
                </c:pt>
                <c:pt idx="97">
                  <c:v>497</c:v>
                </c:pt>
                <c:pt idx="98">
                  <c:v>498</c:v>
                </c:pt>
                <c:pt idx="99">
                  <c:v>499</c:v>
                </c:pt>
                <c:pt idx="100">
                  <c:v>500</c:v>
                </c:pt>
                <c:pt idx="101">
                  <c:v>501</c:v>
                </c:pt>
                <c:pt idx="102">
                  <c:v>502</c:v>
                </c:pt>
                <c:pt idx="103">
                  <c:v>503</c:v>
                </c:pt>
                <c:pt idx="104">
                  <c:v>504</c:v>
                </c:pt>
                <c:pt idx="105">
                  <c:v>505</c:v>
                </c:pt>
                <c:pt idx="106">
                  <c:v>506</c:v>
                </c:pt>
                <c:pt idx="107">
                  <c:v>507</c:v>
                </c:pt>
                <c:pt idx="108">
                  <c:v>508</c:v>
                </c:pt>
                <c:pt idx="109">
                  <c:v>509</c:v>
                </c:pt>
                <c:pt idx="110">
                  <c:v>510</c:v>
                </c:pt>
                <c:pt idx="111">
                  <c:v>511</c:v>
                </c:pt>
                <c:pt idx="112">
                  <c:v>512</c:v>
                </c:pt>
                <c:pt idx="113">
                  <c:v>513</c:v>
                </c:pt>
                <c:pt idx="114">
                  <c:v>514</c:v>
                </c:pt>
                <c:pt idx="115">
                  <c:v>515</c:v>
                </c:pt>
                <c:pt idx="116">
                  <c:v>516</c:v>
                </c:pt>
                <c:pt idx="117">
                  <c:v>517</c:v>
                </c:pt>
                <c:pt idx="118">
                  <c:v>518</c:v>
                </c:pt>
                <c:pt idx="119">
                  <c:v>519</c:v>
                </c:pt>
                <c:pt idx="120">
                  <c:v>520</c:v>
                </c:pt>
                <c:pt idx="121">
                  <c:v>521</c:v>
                </c:pt>
                <c:pt idx="122">
                  <c:v>522</c:v>
                </c:pt>
                <c:pt idx="123">
                  <c:v>523</c:v>
                </c:pt>
                <c:pt idx="124">
                  <c:v>524</c:v>
                </c:pt>
                <c:pt idx="125">
                  <c:v>525</c:v>
                </c:pt>
                <c:pt idx="126">
                  <c:v>526</c:v>
                </c:pt>
                <c:pt idx="127">
                  <c:v>527</c:v>
                </c:pt>
                <c:pt idx="128">
                  <c:v>528</c:v>
                </c:pt>
                <c:pt idx="129">
                  <c:v>529</c:v>
                </c:pt>
                <c:pt idx="130">
                  <c:v>530</c:v>
                </c:pt>
                <c:pt idx="131">
                  <c:v>531</c:v>
                </c:pt>
                <c:pt idx="132">
                  <c:v>532</c:v>
                </c:pt>
                <c:pt idx="133">
                  <c:v>533</c:v>
                </c:pt>
                <c:pt idx="134">
                  <c:v>534</c:v>
                </c:pt>
                <c:pt idx="135">
                  <c:v>535</c:v>
                </c:pt>
                <c:pt idx="136">
                  <c:v>536</c:v>
                </c:pt>
                <c:pt idx="137">
                  <c:v>537</c:v>
                </c:pt>
                <c:pt idx="138">
                  <c:v>538</c:v>
                </c:pt>
                <c:pt idx="139">
                  <c:v>539</c:v>
                </c:pt>
                <c:pt idx="140">
                  <c:v>540</c:v>
                </c:pt>
                <c:pt idx="141">
                  <c:v>541</c:v>
                </c:pt>
                <c:pt idx="142">
                  <c:v>542</c:v>
                </c:pt>
                <c:pt idx="143">
                  <c:v>543</c:v>
                </c:pt>
                <c:pt idx="144">
                  <c:v>544</c:v>
                </c:pt>
                <c:pt idx="145">
                  <c:v>545</c:v>
                </c:pt>
                <c:pt idx="146">
                  <c:v>546</c:v>
                </c:pt>
                <c:pt idx="147">
                  <c:v>547</c:v>
                </c:pt>
                <c:pt idx="148">
                  <c:v>548</c:v>
                </c:pt>
                <c:pt idx="149">
                  <c:v>549</c:v>
                </c:pt>
                <c:pt idx="150">
                  <c:v>550</c:v>
                </c:pt>
                <c:pt idx="151">
                  <c:v>551</c:v>
                </c:pt>
                <c:pt idx="152">
                  <c:v>552</c:v>
                </c:pt>
                <c:pt idx="153">
                  <c:v>553</c:v>
                </c:pt>
                <c:pt idx="154">
                  <c:v>554</c:v>
                </c:pt>
                <c:pt idx="155">
                  <c:v>555</c:v>
                </c:pt>
                <c:pt idx="156">
                  <c:v>556</c:v>
                </c:pt>
                <c:pt idx="157">
                  <c:v>557</c:v>
                </c:pt>
                <c:pt idx="158">
                  <c:v>558</c:v>
                </c:pt>
                <c:pt idx="159">
                  <c:v>559</c:v>
                </c:pt>
                <c:pt idx="160">
                  <c:v>560</c:v>
                </c:pt>
                <c:pt idx="161">
                  <c:v>561</c:v>
                </c:pt>
                <c:pt idx="162">
                  <c:v>562</c:v>
                </c:pt>
                <c:pt idx="163">
                  <c:v>563</c:v>
                </c:pt>
                <c:pt idx="164">
                  <c:v>564</c:v>
                </c:pt>
                <c:pt idx="165">
                  <c:v>565</c:v>
                </c:pt>
                <c:pt idx="166">
                  <c:v>566</c:v>
                </c:pt>
                <c:pt idx="167">
                  <c:v>567</c:v>
                </c:pt>
                <c:pt idx="168">
                  <c:v>568</c:v>
                </c:pt>
                <c:pt idx="169">
                  <c:v>569</c:v>
                </c:pt>
                <c:pt idx="170">
                  <c:v>570</c:v>
                </c:pt>
                <c:pt idx="171">
                  <c:v>571</c:v>
                </c:pt>
                <c:pt idx="172">
                  <c:v>572</c:v>
                </c:pt>
                <c:pt idx="173">
                  <c:v>573</c:v>
                </c:pt>
                <c:pt idx="174">
                  <c:v>574</c:v>
                </c:pt>
                <c:pt idx="175">
                  <c:v>575</c:v>
                </c:pt>
                <c:pt idx="176">
                  <c:v>576</c:v>
                </c:pt>
                <c:pt idx="177">
                  <c:v>577</c:v>
                </c:pt>
                <c:pt idx="178">
                  <c:v>578</c:v>
                </c:pt>
                <c:pt idx="179">
                  <c:v>579</c:v>
                </c:pt>
                <c:pt idx="180">
                  <c:v>580</c:v>
                </c:pt>
                <c:pt idx="181">
                  <c:v>581</c:v>
                </c:pt>
                <c:pt idx="182">
                  <c:v>582</c:v>
                </c:pt>
                <c:pt idx="183">
                  <c:v>583</c:v>
                </c:pt>
                <c:pt idx="184">
                  <c:v>584</c:v>
                </c:pt>
                <c:pt idx="185">
                  <c:v>585</c:v>
                </c:pt>
                <c:pt idx="186">
                  <c:v>586</c:v>
                </c:pt>
                <c:pt idx="187">
                  <c:v>587</c:v>
                </c:pt>
                <c:pt idx="188">
                  <c:v>588</c:v>
                </c:pt>
                <c:pt idx="189">
                  <c:v>589</c:v>
                </c:pt>
                <c:pt idx="190">
                  <c:v>590</c:v>
                </c:pt>
                <c:pt idx="191">
                  <c:v>591</c:v>
                </c:pt>
                <c:pt idx="192">
                  <c:v>592</c:v>
                </c:pt>
                <c:pt idx="193">
                  <c:v>593</c:v>
                </c:pt>
                <c:pt idx="194">
                  <c:v>594</c:v>
                </c:pt>
                <c:pt idx="195">
                  <c:v>595</c:v>
                </c:pt>
                <c:pt idx="196">
                  <c:v>596</c:v>
                </c:pt>
                <c:pt idx="197">
                  <c:v>597</c:v>
                </c:pt>
                <c:pt idx="198">
                  <c:v>598</c:v>
                </c:pt>
                <c:pt idx="199">
                  <c:v>599</c:v>
                </c:pt>
                <c:pt idx="200">
                  <c:v>600</c:v>
                </c:pt>
                <c:pt idx="201">
                  <c:v>601</c:v>
                </c:pt>
                <c:pt idx="202">
                  <c:v>602</c:v>
                </c:pt>
                <c:pt idx="203">
                  <c:v>603</c:v>
                </c:pt>
                <c:pt idx="204">
                  <c:v>604</c:v>
                </c:pt>
                <c:pt idx="205">
                  <c:v>605</c:v>
                </c:pt>
                <c:pt idx="206">
                  <c:v>606</c:v>
                </c:pt>
                <c:pt idx="207">
                  <c:v>607</c:v>
                </c:pt>
                <c:pt idx="208">
                  <c:v>608</c:v>
                </c:pt>
                <c:pt idx="209">
                  <c:v>609</c:v>
                </c:pt>
                <c:pt idx="210">
                  <c:v>610</c:v>
                </c:pt>
                <c:pt idx="211">
                  <c:v>611</c:v>
                </c:pt>
                <c:pt idx="212">
                  <c:v>612</c:v>
                </c:pt>
                <c:pt idx="213">
                  <c:v>613</c:v>
                </c:pt>
                <c:pt idx="214">
                  <c:v>614</c:v>
                </c:pt>
                <c:pt idx="215">
                  <c:v>615</c:v>
                </c:pt>
                <c:pt idx="216">
                  <c:v>616</c:v>
                </c:pt>
                <c:pt idx="217">
                  <c:v>617</c:v>
                </c:pt>
                <c:pt idx="218">
                  <c:v>618</c:v>
                </c:pt>
                <c:pt idx="219">
                  <c:v>619</c:v>
                </c:pt>
                <c:pt idx="220">
                  <c:v>620</c:v>
                </c:pt>
                <c:pt idx="221">
                  <c:v>621</c:v>
                </c:pt>
                <c:pt idx="222">
                  <c:v>622</c:v>
                </c:pt>
                <c:pt idx="223">
                  <c:v>623</c:v>
                </c:pt>
                <c:pt idx="224">
                  <c:v>624</c:v>
                </c:pt>
                <c:pt idx="225">
                  <c:v>625</c:v>
                </c:pt>
                <c:pt idx="226">
                  <c:v>626</c:v>
                </c:pt>
                <c:pt idx="227">
                  <c:v>627</c:v>
                </c:pt>
                <c:pt idx="228">
                  <c:v>628</c:v>
                </c:pt>
                <c:pt idx="229">
                  <c:v>629</c:v>
                </c:pt>
                <c:pt idx="230">
                  <c:v>630</c:v>
                </c:pt>
                <c:pt idx="231">
                  <c:v>631</c:v>
                </c:pt>
                <c:pt idx="232">
                  <c:v>632</c:v>
                </c:pt>
                <c:pt idx="233">
                  <c:v>633</c:v>
                </c:pt>
                <c:pt idx="234">
                  <c:v>634</c:v>
                </c:pt>
                <c:pt idx="235">
                  <c:v>635</c:v>
                </c:pt>
                <c:pt idx="236">
                  <c:v>636</c:v>
                </c:pt>
                <c:pt idx="237">
                  <c:v>637</c:v>
                </c:pt>
                <c:pt idx="238">
                  <c:v>638</c:v>
                </c:pt>
                <c:pt idx="239">
                  <c:v>639</c:v>
                </c:pt>
                <c:pt idx="240">
                  <c:v>640</c:v>
                </c:pt>
                <c:pt idx="241">
                  <c:v>641</c:v>
                </c:pt>
                <c:pt idx="242">
                  <c:v>642</c:v>
                </c:pt>
                <c:pt idx="243">
                  <c:v>643</c:v>
                </c:pt>
                <c:pt idx="244">
                  <c:v>644</c:v>
                </c:pt>
                <c:pt idx="245">
                  <c:v>645</c:v>
                </c:pt>
                <c:pt idx="246">
                  <c:v>646</c:v>
                </c:pt>
                <c:pt idx="247">
                  <c:v>647</c:v>
                </c:pt>
                <c:pt idx="248">
                  <c:v>648</c:v>
                </c:pt>
                <c:pt idx="249">
                  <c:v>649</c:v>
                </c:pt>
                <c:pt idx="250">
                  <c:v>650</c:v>
                </c:pt>
                <c:pt idx="251">
                  <c:v>651</c:v>
                </c:pt>
                <c:pt idx="252">
                  <c:v>652</c:v>
                </c:pt>
                <c:pt idx="253">
                  <c:v>653</c:v>
                </c:pt>
                <c:pt idx="254">
                  <c:v>654</c:v>
                </c:pt>
                <c:pt idx="255">
                  <c:v>655</c:v>
                </c:pt>
                <c:pt idx="256">
                  <c:v>656</c:v>
                </c:pt>
                <c:pt idx="257">
                  <c:v>657</c:v>
                </c:pt>
                <c:pt idx="258">
                  <c:v>658</c:v>
                </c:pt>
                <c:pt idx="259">
                  <c:v>659</c:v>
                </c:pt>
                <c:pt idx="260">
                  <c:v>660</c:v>
                </c:pt>
                <c:pt idx="261">
                  <c:v>661</c:v>
                </c:pt>
                <c:pt idx="262">
                  <c:v>662</c:v>
                </c:pt>
                <c:pt idx="263">
                  <c:v>663</c:v>
                </c:pt>
                <c:pt idx="264">
                  <c:v>664</c:v>
                </c:pt>
                <c:pt idx="265">
                  <c:v>665</c:v>
                </c:pt>
                <c:pt idx="266">
                  <c:v>666</c:v>
                </c:pt>
                <c:pt idx="267">
                  <c:v>667</c:v>
                </c:pt>
                <c:pt idx="268">
                  <c:v>668</c:v>
                </c:pt>
                <c:pt idx="269">
                  <c:v>669</c:v>
                </c:pt>
                <c:pt idx="270">
                  <c:v>670</c:v>
                </c:pt>
                <c:pt idx="271">
                  <c:v>671</c:v>
                </c:pt>
                <c:pt idx="272">
                  <c:v>672</c:v>
                </c:pt>
                <c:pt idx="273">
                  <c:v>673</c:v>
                </c:pt>
                <c:pt idx="274">
                  <c:v>674</c:v>
                </c:pt>
                <c:pt idx="275">
                  <c:v>675</c:v>
                </c:pt>
                <c:pt idx="276">
                  <c:v>676</c:v>
                </c:pt>
                <c:pt idx="277">
                  <c:v>677</c:v>
                </c:pt>
                <c:pt idx="278">
                  <c:v>678</c:v>
                </c:pt>
                <c:pt idx="279">
                  <c:v>679</c:v>
                </c:pt>
                <c:pt idx="280">
                  <c:v>680</c:v>
                </c:pt>
                <c:pt idx="281">
                  <c:v>681</c:v>
                </c:pt>
                <c:pt idx="282">
                  <c:v>682</c:v>
                </c:pt>
                <c:pt idx="283">
                  <c:v>683</c:v>
                </c:pt>
                <c:pt idx="284">
                  <c:v>684</c:v>
                </c:pt>
                <c:pt idx="285">
                  <c:v>685</c:v>
                </c:pt>
                <c:pt idx="286">
                  <c:v>686</c:v>
                </c:pt>
                <c:pt idx="287">
                  <c:v>687</c:v>
                </c:pt>
                <c:pt idx="288">
                  <c:v>688</c:v>
                </c:pt>
                <c:pt idx="289">
                  <c:v>689</c:v>
                </c:pt>
                <c:pt idx="290">
                  <c:v>690</c:v>
                </c:pt>
                <c:pt idx="291">
                  <c:v>691</c:v>
                </c:pt>
                <c:pt idx="292">
                  <c:v>692</c:v>
                </c:pt>
                <c:pt idx="293">
                  <c:v>693</c:v>
                </c:pt>
                <c:pt idx="294">
                  <c:v>694</c:v>
                </c:pt>
                <c:pt idx="295">
                  <c:v>695</c:v>
                </c:pt>
                <c:pt idx="296">
                  <c:v>696</c:v>
                </c:pt>
                <c:pt idx="297">
                  <c:v>697</c:v>
                </c:pt>
                <c:pt idx="298">
                  <c:v>698</c:v>
                </c:pt>
                <c:pt idx="299">
                  <c:v>699</c:v>
                </c:pt>
                <c:pt idx="300">
                  <c:v>700</c:v>
                </c:pt>
                <c:pt idx="301">
                  <c:v>701</c:v>
                </c:pt>
                <c:pt idx="302">
                  <c:v>702</c:v>
                </c:pt>
                <c:pt idx="303">
                  <c:v>703</c:v>
                </c:pt>
                <c:pt idx="304">
                  <c:v>704</c:v>
                </c:pt>
                <c:pt idx="305">
                  <c:v>705</c:v>
                </c:pt>
                <c:pt idx="306">
                  <c:v>706</c:v>
                </c:pt>
                <c:pt idx="307">
                  <c:v>707</c:v>
                </c:pt>
                <c:pt idx="308">
                  <c:v>708</c:v>
                </c:pt>
                <c:pt idx="309">
                  <c:v>709</c:v>
                </c:pt>
                <c:pt idx="310">
                  <c:v>710</c:v>
                </c:pt>
                <c:pt idx="311">
                  <c:v>711</c:v>
                </c:pt>
                <c:pt idx="312">
                  <c:v>712</c:v>
                </c:pt>
                <c:pt idx="313">
                  <c:v>713</c:v>
                </c:pt>
                <c:pt idx="314">
                  <c:v>714</c:v>
                </c:pt>
                <c:pt idx="315">
                  <c:v>715</c:v>
                </c:pt>
                <c:pt idx="316">
                  <c:v>716</c:v>
                </c:pt>
                <c:pt idx="317">
                  <c:v>717</c:v>
                </c:pt>
                <c:pt idx="318">
                  <c:v>718</c:v>
                </c:pt>
                <c:pt idx="319">
                  <c:v>719</c:v>
                </c:pt>
                <c:pt idx="320">
                  <c:v>720</c:v>
                </c:pt>
                <c:pt idx="321">
                  <c:v>721</c:v>
                </c:pt>
                <c:pt idx="322">
                  <c:v>722</c:v>
                </c:pt>
                <c:pt idx="323">
                  <c:v>723</c:v>
                </c:pt>
                <c:pt idx="324">
                  <c:v>724</c:v>
                </c:pt>
                <c:pt idx="325">
                  <c:v>725</c:v>
                </c:pt>
                <c:pt idx="326">
                  <c:v>726</c:v>
                </c:pt>
                <c:pt idx="327">
                  <c:v>727</c:v>
                </c:pt>
                <c:pt idx="328">
                  <c:v>728</c:v>
                </c:pt>
                <c:pt idx="329">
                  <c:v>729</c:v>
                </c:pt>
                <c:pt idx="330">
                  <c:v>730</c:v>
                </c:pt>
                <c:pt idx="331">
                  <c:v>731</c:v>
                </c:pt>
                <c:pt idx="332">
                  <c:v>732</c:v>
                </c:pt>
                <c:pt idx="333">
                  <c:v>733</c:v>
                </c:pt>
                <c:pt idx="334">
                  <c:v>734</c:v>
                </c:pt>
                <c:pt idx="335">
                  <c:v>735</c:v>
                </c:pt>
                <c:pt idx="336">
                  <c:v>736</c:v>
                </c:pt>
                <c:pt idx="337">
                  <c:v>737</c:v>
                </c:pt>
                <c:pt idx="338">
                  <c:v>738</c:v>
                </c:pt>
                <c:pt idx="339">
                  <c:v>739</c:v>
                </c:pt>
                <c:pt idx="340">
                  <c:v>740</c:v>
                </c:pt>
                <c:pt idx="341">
                  <c:v>741</c:v>
                </c:pt>
                <c:pt idx="342">
                  <c:v>742</c:v>
                </c:pt>
                <c:pt idx="343">
                  <c:v>743</c:v>
                </c:pt>
                <c:pt idx="344">
                  <c:v>744</c:v>
                </c:pt>
                <c:pt idx="345">
                  <c:v>745</c:v>
                </c:pt>
                <c:pt idx="346">
                  <c:v>746</c:v>
                </c:pt>
                <c:pt idx="347">
                  <c:v>747</c:v>
                </c:pt>
                <c:pt idx="348">
                  <c:v>748</c:v>
                </c:pt>
                <c:pt idx="349">
                  <c:v>749</c:v>
                </c:pt>
                <c:pt idx="350">
                  <c:v>750</c:v>
                </c:pt>
                <c:pt idx="351">
                  <c:v>751</c:v>
                </c:pt>
                <c:pt idx="352">
                  <c:v>752</c:v>
                </c:pt>
                <c:pt idx="353">
                  <c:v>753</c:v>
                </c:pt>
                <c:pt idx="354">
                  <c:v>754</c:v>
                </c:pt>
                <c:pt idx="355">
                  <c:v>755</c:v>
                </c:pt>
                <c:pt idx="356">
                  <c:v>756</c:v>
                </c:pt>
                <c:pt idx="357">
                  <c:v>757</c:v>
                </c:pt>
                <c:pt idx="358">
                  <c:v>758</c:v>
                </c:pt>
                <c:pt idx="359">
                  <c:v>759</c:v>
                </c:pt>
                <c:pt idx="360">
                  <c:v>760</c:v>
                </c:pt>
                <c:pt idx="361">
                  <c:v>761</c:v>
                </c:pt>
                <c:pt idx="362">
                  <c:v>762</c:v>
                </c:pt>
                <c:pt idx="363">
                  <c:v>763</c:v>
                </c:pt>
                <c:pt idx="364">
                  <c:v>764</c:v>
                </c:pt>
                <c:pt idx="365">
                  <c:v>765</c:v>
                </c:pt>
                <c:pt idx="366">
                  <c:v>766</c:v>
                </c:pt>
                <c:pt idx="367">
                  <c:v>767</c:v>
                </c:pt>
                <c:pt idx="368">
                  <c:v>768</c:v>
                </c:pt>
                <c:pt idx="369">
                  <c:v>769</c:v>
                </c:pt>
                <c:pt idx="370">
                  <c:v>770</c:v>
                </c:pt>
                <c:pt idx="371">
                  <c:v>771</c:v>
                </c:pt>
                <c:pt idx="372">
                  <c:v>772</c:v>
                </c:pt>
                <c:pt idx="373">
                  <c:v>773</c:v>
                </c:pt>
                <c:pt idx="374">
                  <c:v>774</c:v>
                </c:pt>
                <c:pt idx="375">
                  <c:v>775</c:v>
                </c:pt>
                <c:pt idx="376">
                  <c:v>776</c:v>
                </c:pt>
                <c:pt idx="377">
                  <c:v>777</c:v>
                </c:pt>
                <c:pt idx="378">
                  <c:v>778</c:v>
                </c:pt>
                <c:pt idx="379">
                  <c:v>779</c:v>
                </c:pt>
                <c:pt idx="380">
                  <c:v>780</c:v>
                </c:pt>
                <c:pt idx="381">
                  <c:v>781</c:v>
                </c:pt>
                <c:pt idx="382">
                  <c:v>782</c:v>
                </c:pt>
                <c:pt idx="383">
                  <c:v>783</c:v>
                </c:pt>
                <c:pt idx="384">
                  <c:v>784</c:v>
                </c:pt>
                <c:pt idx="385">
                  <c:v>785</c:v>
                </c:pt>
                <c:pt idx="386">
                  <c:v>786</c:v>
                </c:pt>
                <c:pt idx="387">
                  <c:v>787</c:v>
                </c:pt>
                <c:pt idx="388">
                  <c:v>788</c:v>
                </c:pt>
                <c:pt idx="389">
                  <c:v>789</c:v>
                </c:pt>
                <c:pt idx="390">
                  <c:v>790</c:v>
                </c:pt>
                <c:pt idx="391">
                  <c:v>791</c:v>
                </c:pt>
                <c:pt idx="392">
                  <c:v>792</c:v>
                </c:pt>
                <c:pt idx="393">
                  <c:v>793</c:v>
                </c:pt>
                <c:pt idx="394">
                  <c:v>794</c:v>
                </c:pt>
                <c:pt idx="395">
                  <c:v>795</c:v>
                </c:pt>
                <c:pt idx="396">
                  <c:v>796</c:v>
                </c:pt>
                <c:pt idx="397">
                  <c:v>797</c:v>
                </c:pt>
                <c:pt idx="398">
                  <c:v>798</c:v>
                </c:pt>
                <c:pt idx="399">
                  <c:v>799</c:v>
                </c:pt>
                <c:pt idx="400">
                  <c:v>800</c:v>
                </c:pt>
                <c:pt idx="401">
                  <c:v>630</c:v>
                </c:pt>
                <c:pt idx="402">
                  <c:v>630</c:v>
                </c:pt>
              </c:numCache>
            </c:numRef>
          </c:xVal>
          <c:yVal>
            <c:numRef>
              <c:f>Sheet1!$I$2:$I$404</c:f>
              <c:numCache>
                <c:formatCode>General</c:formatCode>
                <c:ptCount val="403"/>
                <c:pt idx="0">
                  <c:v>0.1041</c:v>
                </c:pt>
                <c:pt idx="1">
                  <c:v>0.1009</c:v>
                </c:pt>
                <c:pt idx="2">
                  <c:v>0.1079</c:v>
                </c:pt>
                <c:pt idx="3">
                  <c:v>0.1069</c:v>
                </c:pt>
                <c:pt idx="4">
                  <c:v>0.1097</c:v>
                </c:pt>
                <c:pt idx="5">
                  <c:v>0.1158</c:v>
                </c:pt>
                <c:pt idx="6">
                  <c:v>0.1186</c:v>
                </c:pt>
                <c:pt idx="7">
                  <c:v>0.1139</c:v>
                </c:pt>
                <c:pt idx="8">
                  <c:v>0.1219</c:v>
                </c:pt>
                <c:pt idx="9">
                  <c:v>0.1196</c:v>
                </c:pt>
                <c:pt idx="10">
                  <c:v>0.125</c:v>
                </c:pt>
                <c:pt idx="11">
                  <c:v>0.124</c:v>
                </c:pt>
                <c:pt idx="12">
                  <c:v>0.1271</c:v>
                </c:pt>
                <c:pt idx="13">
                  <c:v>0.1291</c:v>
                </c:pt>
                <c:pt idx="14">
                  <c:v>0.13</c:v>
                </c:pt>
                <c:pt idx="15">
                  <c:v>0.1327</c:v>
                </c:pt>
                <c:pt idx="16">
                  <c:v>0.1343</c:v>
                </c:pt>
                <c:pt idx="17">
                  <c:v>0.1358</c:v>
                </c:pt>
                <c:pt idx="18">
                  <c:v>0.1392</c:v>
                </c:pt>
                <c:pt idx="19">
                  <c:v>0.1403</c:v>
                </c:pt>
                <c:pt idx="20">
                  <c:v>0.142</c:v>
                </c:pt>
                <c:pt idx="21">
                  <c:v>0.1483</c:v>
                </c:pt>
                <c:pt idx="22">
                  <c:v>0.15</c:v>
                </c:pt>
                <c:pt idx="23">
                  <c:v>0.1506</c:v>
                </c:pt>
                <c:pt idx="24">
                  <c:v>0.1546</c:v>
                </c:pt>
                <c:pt idx="25">
                  <c:v>0.1566</c:v>
                </c:pt>
                <c:pt idx="26">
                  <c:v>0.1586</c:v>
                </c:pt>
                <c:pt idx="27">
                  <c:v>0.1606</c:v>
                </c:pt>
                <c:pt idx="28">
                  <c:v>0.1623</c:v>
                </c:pt>
                <c:pt idx="29">
                  <c:v>0.1656</c:v>
                </c:pt>
                <c:pt idx="30">
                  <c:v>0.1687</c:v>
                </c:pt>
                <c:pt idx="31">
                  <c:v>0.1711</c:v>
                </c:pt>
                <c:pt idx="32">
                  <c:v>0.1756</c:v>
                </c:pt>
                <c:pt idx="33">
                  <c:v>0.18</c:v>
                </c:pt>
                <c:pt idx="34">
                  <c:v>0.1806</c:v>
                </c:pt>
                <c:pt idx="35">
                  <c:v>0.1855</c:v>
                </c:pt>
                <c:pt idx="36">
                  <c:v>0.1874</c:v>
                </c:pt>
                <c:pt idx="37">
                  <c:v>0.1897</c:v>
                </c:pt>
                <c:pt idx="38">
                  <c:v>0.1934</c:v>
                </c:pt>
                <c:pt idx="39">
                  <c:v>0.1953</c:v>
                </c:pt>
                <c:pt idx="40">
                  <c:v>0.1967</c:v>
                </c:pt>
                <c:pt idx="41">
                  <c:v>0.2018</c:v>
                </c:pt>
                <c:pt idx="42">
                  <c:v>0.201</c:v>
                </c:pt>
                <c:pt idx="43">
                  <c:v>0.2072</c:v>
                </c:pt>
                <c:pt idx="44">
                  <c:v>0.2062</c:v>
                </c:pt>
                <c:pt idx="45">
                  <c:v>0.2108</c:v>
                </c:pt>
                <c:pt idx="46">
                  <c:v>0.2138</c:v>
                </c:pt>
                <c:pt idx="47">
                  <c:v>0.2169</c:v>
                </c:pt>
                <c:pt idx="48">
                  <c:v>0.2193</c:v>
                </c:pt>
                <c:pt idx="49">
                  <c:v>0.2206</c:v>
                </c:pt>
                <c:pt idx="50">
                  <c:v>0.2268</c:v>
                </c:pt>
                <c:pt idx="51">
                  <c:v>0.2281</c:v>
                </c:pt>
                <c:pt idx="52">
                  <c:v>0.2311</c:v>
                </c:pt>
                <c:pt idx="53">
                  <c:v>0.2317</c:v>
                </c:pt>
                <c:pt idx="54">
                  <c:v>0.2357</c:v>
                </c:pt>
                <c:pt idx="55">
                  <c:v>0.2362</c:v>
                </c:pt>
                <c:pt idx="56">
                  <c:v>0.2389</c:v>
                </c:pt>
                <c:pt idx="57">
                  <c:v>0.2432</c:v>
                </c:pt>
                <c:pt idx="58">
                  <c:v>0.2443</c:v>
                </c:pt>
                <c:pt idx="59">
                  <c:v>0.2468</c:v>
                </c:pt>
                <c:pt idx="60">
                  <c:v>0.2495</c:v>
                </c:pt>
                <c:pt idx="61">
                  <c:v>0.2525</c:v>
                </c:pt>
                <c:pt idx="62">
                  <c:v>0.2544</c:v>
                </c:pt>
                <c:pt idx="63">
                  <c:v>0.257</c:v>
                </c:pt>
                <c:pt idx="64">
                  <c:v>0.2572</c:v>
                </c:pt>
                <c:pt idx="65">
                  <c:v>0.26</c:v>
                </c:pt>
                <c:pt idx="66">
                  <c:v>0.2613</c:v>
                </c:pt>
                <c:pt idx="67">
                  <c:v>0.2632</c:v>
                </c:pt>
                <c:pt idx="68">
                  <c:v>0.2667</c:v>
                </c:pt>
                <c:pt idx="69">
                  <c:v>0.2679</c:v>
                </c:pt>
                <c:pt idx="70">
                  <c:v>0.2696</c:v>
                </c:pt>
                <c:pt idx="71">
                  <c:v>0.2737</c:v>
                </c:pt>
                <c:pt idx="72">
                  <c:v>0.274</c:v>
                </c:pt>
                <c:pt idx="73">
                  <c:v>0.2778</c:v>
                </c:pt>
                <c:pt idx="74">
                  <c:v>0.279</c:v>
                </c:pt>
                <c:pt idx="75">
                  <c:v>0.279</c:v>
                </c:pt>
                <c:pt idx="76">
                  <c:v>0.281</c:v>
                </c:pt>
                <c:pt idx="77">
                  <c:v>0.2825</c:v>
                </c:pt>
                <c:pt idx="78">
                  <c:v>0.2836</c:v>
                </c:pt>
                <c:pt idx="79">
                  <c:v>0.2856</c:v>
                </c:pt>
                <c:pt idx="80">
                  <c:v>0.2874</c:v>
                </c:pt>
                <c:pt idx="81">
                  <c:v>0.2884</c:v>
                </c:pt>
                <c:pt idx="82">
                  <c:v>0.2906</c:v>
                </c:pt>
                <c:pt idx="83">
                  <c:v>0.2907</c:v>
                </c:pt>
                <c:pt idx="84">
                  <c:v>0.294</c:v>
                </c:pt>
                <c:pt idx="85">
                  <c:v>0.2941</c:v>
                </c:pt>
                <c:pt idx="86">
                  <c:v>0.2962</c:v>
                </c:pt>
                <c:pt idx="87">
                  <c:v>0.2976</c:v>
                </c:pt>
                <c:pt idx="88">
                  <c:v>0.2999</c:v>
                </c:pt>
                <c:pt idx="89">
                  <c:v>0.300300000000001</c:v>
                </c:pt>
                <c:pt idx="90">
                  <c:v>0.302800000000001</c:v>
                </c:pt>
                <c:pt idx="91">
                  <c:v>0.304</c:v>
                </c:pt>
                <c:pt idx="92">
                  <c:v>0.307</c:v>
                </c:pt>
                <c:pt idx="93">
                  <c:v>0.3076</c:v>
                </c:pt>
                <c:pt idx="94">
                  <c:v>0.309900000000001</c:v>
                </c:pt>
                <c:pt idx="95">
                  <c:v>0.310800000000001</c:v>
                </c:pt>
                <c:pt idx="96">
                  <c:v>0.313900000000001</c:v>
                </c:pt>
                <c:pt idx="97">
                  <c:v>0.314900000000001</c:v>
                </c:pt>
                <c:pt idx="98">
                  <c:v>0.3166</c:v>
                </c:pt>
                <c:pt idx="99">
                  <c:v>0.317400000000001</c:v>
                </c:pt>
                <c:pt idx="100">
                  <c:v>0.313400000000001</c:v>
                </c:pt>
                <c:pt idx="101">
                  <c:v>0.315900000000001</c:v>
                </c:pt>
                <c:pt idx="102">
                  <c:v>0.317300000000001</c:v>
                </c:pt>
                <c:pt idx="103">
                  <c:v>0.320300000000001</c:v>
                </c:pt>
                <c:pt idx="104">
                  <c:v>0.322500000000001</c:v>
                </c:pt>
                <c:pt idx="105">
                  <c:v>0.325300000000001</c:v>
                </c:pt>
                <c:pt idx="106">
                  <c:v>0.328400000000001</c:v>
                </c:pt>
                <c:pt idx="107">
                  <c:v>0.3302</c:v>
                </c:pt>
                <c:pt idx="108">
                  <c:v>0.332900000000001</c:v>
                </c:pt>
                <c:pt idx="109">
                  <c:v>0.336300000000001</c:v>
                </c:pt>
                <c:pt idx="110">
                  <c:v>0.338300000000001</c:v>
                </c:pt>
                <c:pt idx="111">
                  <c:v>0.3419</c:v>
                </c:pt>
                <c:pt idx="112">
                  <c:v>0.3435</c:v>
                </c:pt>
                <c:pt idx="113">
                  <c:v>0.3471</c:v>
                </c:pt>
                <c:pt idx="114">
                  <c:v>0.3496</c:v>
                </c:pt>
                <c:pt idx="115">
                  <c:v>0.3531</c:v>
                </c:pt>
                <c:pt idx="116">
                  <c:v>0.3555</c:v>
                </c:pt>
                <c:pt idx="117">
                  <c:v>0.359800000000001</c:v>
                </c:pt>
                <c:pt idx="118">
                  <c:v>0.3622</c:v>
                </c:pt>
                <c:pt idx="119">
                  <c:v>0.3666</c:v>
                </c:pt>
                <c:pt idx="120">
                  <c:v>0.3702</c:v>
                </c:pt>
                <c:pt idx="121">
                  <c:v>0.374900000000001</c:v>
                </c:pt>
                <c:pt idx="122">
                  <c:v>0.377</c:v>
                </c:pt>
                <c:pt idx="123">
                  <c:v>0.3822</c:v>
                </c:pt>
                <c:pt idx="124">
                  <c:v>0.386000000000001</c:v>
                </c:pt>
                <c:pt idx="125">
                  <c:v>0.389400000000001</c:v>
                </c:pt>
                <c:pt idx="126">
                  <c:v>0.393900000000001</c:v>
                </c:pt>
                <c:pt idx="127">
                  <c:v>0.397600000000001</c:v>
                </c:pt>
                <c:pt idx="128">
                  <c:v>0.4022</c:v>
                </c:pt>
                <c:pt idx="129">
                  <c:v>0.4065</c:v>
                </c:pt>
                <c:pt idx="130">
                  <c:v>0.4112</c:v>
                </c:pt>
                <c:pt idx="131">
                  <c:v>0.416</c:v>
                </c:pt>
                <c:pt idx="132">
                  <c:v>0.420300000000001</c:v>
                </c:pt>
                <c:pt idx="133">
                  <c:v>0.4264</c:v>
                </c:pt>
                <c:pt idx="134">
                  <c:v>0.4322</c:v>
                </c:pt>
                <c:pt idx="135">
                  <c:v>0.437300000000001</c:v>
                </c:pt>
                <c:pt idx="136">
                  <c:v>0.4421</c:v>
                </c:pt>
                <c:pt idx="137">
                  <c:v>0.447</c:v>
                </c:pt>
                <c:pt idx="138">
                  <c:v>0.4527</c:v>
                </c:pt>
                <c:pt idx="139">
                  <c:v>0.4571</c:v>
                </c:pt>
                <c:pt idx="140">
                  <c:v>0.4637</c:v>
                </c:pt>
                <c:pt idx="141">
                  <c:v>0.4696</c:v>
                </c:pt>
                <c:pt idx="142">
                  <c:v>0.4741</c:v>
                </c:pt>
                <c:pt idx="143">
                  <c:v>0.480800000000001</c:v>
                </c:pt>
                <c:pt idx="144">
                  <c:v>0.4854</c:v>
                </c:pt>
                <c:pt idx="145">
                  <c:v>0.493</c:v>
                </c:pt>
                <c:pt idx="146">
                  <c:v>0.498300000000001</c:v>
                </c:pt>
                <c:pt idx="147">
                  <c:v>0.5057</c:v>
                </c:pt>
                <c:pt idx="148">
                  <c:v>0.5108</c:v>
                </c:pt>
                <c:pt idx="149">
                  <c:v>0.5184</c:v>
                </c:pt>
                <c:pt idx="150">
                  <c:v>0.5224</c:v>
                </c:pt>
                <c:pt idx="151">
                  <c:v>0.5294</c:v>
                </c:pt>
                <c:pt idx="152">
                  <c:v>0.5333</c:v>
                </c:pt>
                <c:pt idx="153">
                  <c:v>0.5394</c:v>
                </c:pt>
                <c:pt idx="154">
                  <c:v>0.546800000000002</c:v>
                </c:pt>
                <c:pt idx="155">
                  <c:v>0.551800000000001</c:v>
                </c:pt>
                <c:pt idx="156">
                  <c:v>0.559</c:v>
                </c:pt>
                <c:pt idx="157">
                  <c:v>0.564800000000002</c:v>
                </c:pt>
                <c:pt idx="158">
                  <c:v>0.571800000000001</c:v>
                </c:pt>
                <c:pt idx="159">
                  <c:v>0.578600000000001</c:v>
                </c:pt>
                <c:pt idx="160">
                  <c:v>0.5847</c:v>
                </c:pt>
                <c:pt idx="161">
                  <c:v>0.5901</c:v>
                </c:pt>
                <c:pt idx="162">
                  <c:v>0.5968</c:v>
                </c:pt>
                <c:pt idx="163">
                  <c:v>0.600800000000001</c:v>
                </c:pt>
                <c:pt idx="164">
                  <c:v>0.608300000000001</c:v>
                </c:pt>
                <c:pt idx="165">
                  <c:v>0.6125</c:v>
                </c:pt>
                <c:pt idx="166">
                  <c:v>0.620700000000002</c:v>
                </c:pt>
                <c:pt idx="167">
                  <c:v>0.625400000000002</c:v>
                </c:pt>
                <c:pt idx="168">
                  <c:v>0.631900000000001</c:v>
                </c:pt>
                <c:pt idx="169">
                  <c:v>0.636200000000002</c:v>
                </c:pt>
                <c:pt idx="170">
                  <c:v>0.642800000000002</c:v>
                </c:pt>
                <c:pt idx="171">
                  <c:v>0.647300000000001</c:v>
                </c:pt>
                <c:pt idx="172">
                  <c:v>0.654000000000002</c:v>
                </c:pt>
                <c:pt idx="173">
                  <c:v>0.658500000000002</c:v>
                </c:pt>
                <c:pt idx="174">
                  <c:v>0.664400000000001</c:v>
                </c:pt>
                <c:pt idx="175">
                  <c:v>0.669100000000002</c:v>
                </c:pt>
                <c:pt idx="176">
                  <c:v>0.672900000000002</c:v>
                </c:pt>
                <c:pt idx="177">
                  <c:v>0.677900000000002</c:v>
                </c:pt>
                <c:pt idx="178">
                  <c:v>0.6815</c:v>
                </c:pt>
                <c:pt idx="179">
                  <c:v>0.686700000000001</c:v>
                </c:pt>
                <c:pt idx="180">
                  <c:v>0.6914</c:v>
                </c:pt>
                <c:pt idx="181">
                  <c:v>0.695000000000001</c:v>
                </c:pt>
                <c:pt idx="182">
                  <c:v>0.6991</c:v>
                </c:pt>
                <c:pt idx="183">
                  <c:v>0.7045</c:v>
                </c:pt>
                <c:pt idx="184">
                  <c:v>0.707900000000001</c:v>
                </c:pt>
                <c:pt idx="185">
                  <c:v>0.713600000000001</c:v>
                </c:pt>
                <c:pt idx="186">
                  <c:v>0.715700000000001</c:v>
                </c:pt>
                <c:pt idx="187">
                  <c:v>0.7205</c:v>
                </c:pt>
                <c:pt idx="188">
                  <c:v>0.7244</c:v>
                </c:pt>
                <c:pt idx="189">
                  <c:v>0.726200000000001</c:v>
                </c:pt>
                <c:pt idx="190">
                  <c:v>0.7314</c:v>
                </c:pt>
                <c:pt idx="191">
                  <c:v>0.733300000000001</c:v>
                </c:pt>
                <c:pt idx="192">
                  <c:v>0.737200000000002</c:v>
                </c:pt>
                <c:pt idx="193">
                  <c:v>0.739800000000001</c:v>
                </c:pt>
                <c:pt idx="194">
                  <c:v>0.742900000000001</c:v>
                </c:pt>
                <c:pt idx="195">
                  <c:v>0.745800000000001</c:v>
                </c:pt>
                <c:pt idx="196">
                  <c:v>0.748300000000001</c:v>
                </c:pt>
                <c:pt idx="197">
                  <c:v>0.750300000000002</c:v>
                </c:pt>
                <c:pt idx="198">
                  <c:v>0.753900000000001</c:v>
                </c:pt>
                <c:pt idx="199">
                  <c:v>0.754300000000002</c:v>
                </c:pt>
                <c:pt idx="200">
                  <c:v>0.756900000000001</c:v>
                </c:pt>
                <c:pt idx="201">
                  <c:v>0.758400000000001</c:v>
                </c:pt>
                <c:pt idx="202">
                  <c:v>0.759600000000002</c:v>
                </c:pt>
                <c:pt idx="203">
                  <c:v>0.762400000000001</c:v>
                </c:pt>
                <c:pt idx="204">
                  <c:v>0.764900000000002</c:v>
                </c:pt>
                <c:pt idx="205">
                  <c:v>0.767100000000001</c:v>
                </c:pt>
                <c:pt idx="206">
                  <c:v>0.767800000000001</c:v>
                </c:pt>
                <c:pt idx="207">
                  <c:v>0.770300000000001</c:v>
                </c:pt>
                <c:pt idx="208">
                  <c:v>0.770600000000001</c:v>
                </c:pt>
                <c:pt idx="209">
                  <c:v>0.772200000000001</c:v>
                </c:pt>
                <c:pt idx="210">
                  <c:v>0.773700000000002</c:v>
                </c:pt>
                <c:pt idx="211">
                  <c:v>0.774100000000001</c:v>
                </c:pt>
                <c:pt idx="212">
                  <c:v>0.775300000000001</c:v>
                </c:pt>
                <c:pt idx="213">
                  <c:v>0.776500000000002</c:v>
                </c:pt>
                <c:pt idx="214">
                  <c:v>0.776700000000002</c:v>
                </c:pt>
                <c:pt idx="215">
                  <c:v>0.779100000000001</c:v>
                </c:pt>
                <c:pt idx="216">
                  <c:v>0.779500000000001</c:v>
                </c:pt>
                <c:pt idx="217">
                  <c:v>0.779900000000002</c:v>
                </c:pt>
                <c:pt idx="218">
                  <c:v>0.7821</c:v>
                </c:pt>
                <c:pt idx="219">
                  <c:v>0.7819</c:v>
                </c:pt>
                <c:pt idx="220">
                  <c:v>0.7824</c:v>
                </c:pt>
                <c:pt idx="221">
                  <c:v>0.7831</c:v>
                </c:pt>
                <c:pt idx="222">
                  <c:v>0.7829</c:v>
                </c:pt>
                <c:pt idx="223">
                  <c:v>0.7839</c:v>
                </c:pt>
                <c:pt idx="224">
                  <c:v>0.7838</c:v>
                </c:pt>
                <c:pt idx="225">
                  <c:v>0.7835</c:v>
                </c:pt>
                <c:pt idx="226">
                  <c:v>0.784700000000002</c:v>
                </c:pt>
                <c:pt idx="227">
                  <c:v>0.7831</c:v>
                </c:pt>
                <c:pt idx="228">
                  <c:v>0.784700000000001</c:v>
                </c:pt>
                <c:pt idx="229">
                  <c:v>0.7832</c:v>
                </c:pt>
                <c:pt idx="230">
                  <c:v>0.7834</c:v>
                </c:pt>
                <c:pt idx="231">
                  <c:v>0.7844</c:v>
                </c:pt>
                <c:pt idx="232">
                  <c:v>0.783</c:v>
                </c:pt>
                <c:pt idx="233">
                  <c:v>0.783700000000001</c:v>
                </c:pt>
                <c:pt idx="234">
                  <c:v>0.7831</c:v>
                </c:pt>
                <c:pt idx="235">
                  <c:v>0.7833</c:v>
                </c:pt>
                <c:pt idx="236">
                  <c:v>0.7835</c:v>
                </c:pt>
                <c:pt idx="237">
                  <c:v>0.7839</c:v>
                </c:pt>
                <c:pt idx="238">
                  <c:v>0.783600000000002</c:v>
                </c:pt>
                <c:pt idx="239">
                  <c:v>0.7834</c:v>
                </c:pt>
                <c:pt idx="240">
                  <c:v>0.7825</c:v>
                </c:pt>
                <c:pt idx="241">
                  <c:v>0.7822</c:v>
                </c:pt>
                <c:pt idx="242">
                  <c:v>0.7829</c:v>
                </c:pt>
                <c:pt idx="243">
                  <c:v>0.7811</c:v>
                </c:pt>
                <c:pt idx="244">
                  <c:v>0.7823</c:v>
                </c:pt>
                <c:pt idx="245">
                  <c:v>0.779900000000002</c:v>
                </c:pt>
                <c:pt idx="246">
                  <c:v>0.779300000000001</c:v>
                </c:pt>
                <c:pt idx="247">
                  <c:v>0.779400000000001</c:v>
                </c:pt>
                <c:pt idx="248">
                  <c:v>0.778700000000002</c:v>
                </c:pt>
                <c:pt idx="249">
                  <c:v>0.778700000000002</c:v>
                </c:pt>
                <c:pt idx="250">
                  <c:v>0.777700000000002</c:v>
                </c:pt>
                <c:pt idx="251">
                  <c:v>0.777200000000001</c:v>
                </c:pt>
                <c:pt idx="252">
                  <c:v>0.777300000000002</c:v>
                </c:pt>
                <c:pt idx="253">
                  <c:v>0.776200000000001</c:v>
                </c:pt>
                <c:pt idx="254">
                  <c:v>0.776300000000001</c:v>
                </c:pt>
                <c:pt idx="255">
                  <c:v>0.774700000000002</c:v>
                </c:pt>
                <c:pt idx="256">
                  <c:v>0.773700000000002</c:v>
                </c:pt>
                <c:pt idx="257">
                  <c:v>0.774100000000001</c:v>
                </c:pt>
                <c:pt idx="258">
                  <c:v>0.772900000000002</c:v>
                </c:pt>
                <c:pt idx="259">
                  <c:v>0.772100000000001</c:v>
                </c:pt>
                <c:pt idx="260">
                  <c:v>0.771500000000001</c:v>
                </c:pt>
                <c:pt idx="261">
                  <c:v>0.769700000000002</c:v>
                </c:pt>
                <c:pt idx="262">
                  <c:v>0.768600000000002</c:v>
                </c:pt>
                <c:pt idx="263">
                  <c:v>0.767600000000002</c:v>
                </c:pt>
                <c:pt idx="264">
                  <c:v>0.767000000000001</c:v>
                </c:pt>
                <c:pt idx="265">
                  <c:v>0.766000000000001</c:v>
                </c:pt>
                <c:pt idx="266">
                  <c:v>0.765800000000001</c:v>
                </c:pt>
                <c:pt idx="267">
                  <c:v>0.763600000000001</c:v>
                </c:pt>
                <c:pt idx="268">
                  <c:v>0.764000000000001</c:v>
                </c:pt>
                <c:pt idx="269">
                  <c:v>0.762600000000001</c:v>
                </c:pt>
                <c:pt idx="270">
                  <c:v>0.761400000000001</c:v>
                </c:pt>
                <c:pt idx="271">
                  <c:v>0.760100000000001</c:v>
                </c:pt>
                <c:pt idx="272">
                  <c:v>0.758200000000001</c:v>
                </c:pt>
                <c:pt idx="273">
                  <c:v>0.757800000000002</c:v>
                </c:pt>
                <c:pt idx="274">
                  <c:v>0.756300000000001</c:v>
                </c:pt>
                <c:pt idx="275">
                  <c:v>0.755500000000002</c:v>
                </c:pt>
                <c:pt idx="276">
                  <c:v>0.753400000000001</c:v>
                </c:pt>
                <c:pt idx="277">
                  <c:v>0.753000000000001</c:v>
                </c:pt>
                <c:pt idx="278">
                  <c:v>0.751500000000001</c:v>
                </c:pt>
                <c:pt idx="279">
                  <c:v>0.750200000000002</c:v>
                </c:pt>
                <c:pt idx="280">
                  <c:v>0.749700000000002</c:v>
                </c:pt>
                <c:pt idx="281">
                  <c:v>0.747700000000002</c:v>
                </c:pt>
                <c:pt idx="282">
                  <c:v>0.746700000000002</c:v>
                </c:pt>
                <c:pt idx="283">
                  <c:v>0.745200000000002</c:v>
                </c:pt>
                <c:pt idx="284">
                  <c:v>0.743400000000002</c:v>
                </c:pt>
                <c:pt idx="285">
                  <c:v>0.7405</c:v>
                </c:pt>
                <c:pt idx="286">
                  <c:v>0.738700000000002</c:v>
                </c:pt>
                <c:pt idx="287">
                  <c:v>0.7365</c:v>
                </c:pt>
                <c:pt idx="288">
                  <c:v>0.734100000000001</c:v>
                </c:pt>
                <c:pt idx="289">
                  <c:v>0.732200000000002</c:v>
                </c:pt>
                <c:pt idx="290">
                  <c:v>0.7294</c:v>
                </c:pt>
                <c:pt idx="291">
                  <c:v>0.7274</c:v>
                </c:pt>
                <c:pt idx="292">
                  <c:v>0.7255</c:v>
                </c:pt>
                <c:pt idx="293">
                  <c:v>0.722900000000001</c:v>
                </c:pt>
                <c:pt idx="294">
                  <c:v>0.720600000000001</c:v>
                </c:pt>
                <c:pt idx="295">
                  <c:v>0.716700000000001</c:v>
                </c:pt>
                <c:pt idx="296">
                  <c:v>0.713900000000001</c:v>
                </c:pt>
                <c:pt idx="297">
                  <c:v>0.710800000000001</c:v>
                </c:pt>
                <c:pt idx="298">
                  <c:v>0.707600000000001</c:v>
                </c:pt>
                <c:pt idx="299">
                  <c:v>0.704600000000001</c:v>
                </c:pt>
                <c:pt idx="300">
                  <c:v>0.701900000000001</c:v>
                </c:pt>
                <c:pt idx="301">
                  <c:v>0.6984</c:v>
                </c:pt>
                <c:pt idx="302">
                  <c:v>0.696800000000001</c:v>
                </c:pt>
                <c:pt idx="303">
                  <c:v>0.6932</c:v>
                </c:pt>
                <c:pt idx="304">
                  <c:v>0.689900000000001</c:v>
                </c:pt>
                <c:pt idx="305">
                  <c:v>0.6863</c:v>
                </c:pt>
                <c:pt idx="306">
                  <c:v>0.682700000000001</c:v>
                </c:pt>
                <c:pt idx="307">
                  <c:v>0.679900000000002</c:v>
                </c:pt>
                <c:pt idx="308">
                  <c:v>0.675500000000001</c:v>
                </c:pt>
                <c:pt idx="309">
                  <c:v>0.672300000000001</c:v>
                </c:pt>
                <c:pt idx="310">
                  <c:v>0.667500000000001</c:v>
                </c:pt>
                <c:pt idx="311">
                  <c:v>0.665200000000001</c:v>
                </c:pt>
                <c:pt idx="312">
                  <c:v>0.661500000000001</c:v>
                </c:pt>
                <c:pt idx="313">
                  <c:v>0.658200000000001</c:v>
                </c:pt>
                <c:pt idx="314">
                  <c:v>0.654200000000001</c:v>
                </c:pt>
                <c:pt idx="315">
                  <c:v>0.650800000000002</c:v>
                </c:pt>
                <c:pt idx="316">
                  <c:v>0.646100000000001</c:v>
                </c:pt>
                <c:pt idx="317">
                  <c:v>0.642400000000001</c:v>
                </c:pt>
                <c:pt idx="318">
                  <c:v>0.637400000000001</c:v>
                </c:pt>
                <c:pt idx="319">
                  <c:v>0.633100000000001</c:v>
                </c:pt>
                <c:pt idx="320">
                  <c:v>0.629000000000001</c:v>
                </c:pt>
                <c:pt idx="321">
                  <c:v>0.624800000000002</c:v>
                </c:pt>
                <c:pt idx="322">
                  <c:v>0.619400000000001</c:v>
                </c:pt>
                <c:pt idx="323">
                  <c:v>0.616100000000001</c:v>
                </c:pt>
                <c:pt idx="324">
                  <c:v>0.610800000000001</c:v>
                </c:pt>
                <c:pt idx="325">
                  <c:v>0.607300000000001</c:v>
                </c:pt>
                <c:pt idx="326">
                  <c:v>0.6035</c:v>
                </c:pt>
                <c:pt idx="327">
                  <c:v>0.5981</c:v>
                </c:pt>
                <c:pt idx="328">
                  <c:v>0.5931</c:v>
                </c:pt>
                <c:pt idx="329">
                  <c:v>0.5891</c:v>
                </c:pt>
                <c:pt idx="330">
                  <c:v>0.5834</c:v>
                </c:pt>
                <c:pt idx="331">
                  <c:v>0.579100000000002</c:v>
                </c:pt>
                <c:pt idx="332">
                  <c:v>0.574000000000002</c:v>
                </c:pt>
                <c:pt idx="333">
                  <c:v>0.568000000000001</c:v>
                </c:pt>
                <c:pt idx="334">
                  <c:v>0.5641</c:v>
                </c:pt>
                <c:pt idx="335">
                  <c:v>0.558700000000002</c:v>
                </c:pt>
                <c:pt idx="336">
                  <c:v>0.5533</c:v>
                </c:pt>
                <c:pt idx="337">
                  <c:v>0.548800000000002</c:v>
                </c:pt>
                <c:pt idx="338">
                  <c:v>0.5432</c:v>
                </c:pt>
                <c:pt idx="339">
                  <c:v>0.5389</c:v>
                </c:pt>
                <c:pt idx="340">
                  <c:v>0.5341</c:v>
                </c:pt>
                <c:pt idx="341">
                  <c:v>0.5284</c:v>
                </c:pt>
                <c:pt idx="342">
                  <c:v>0.5227</c:v>
                </c:pt>
                <c:pt idx="343">
                  <c:v>0.5177</c:v>
                </c:pt>
                <c:pt idx="344">
                  <c:v>0.5119</c:v>
                </c:pt>
                <c:pt idx="345">
                  <c:v>0.5064</c:v>
                </c:pt>
                <c:pt idx="346">
                  <c:v>0.5005</c:v>
                </c:pt>
                <c:pt idx="347">
                  <c:v>0.4947</c:v>
                </c:pt>
                <c:pt idx="348">
                  <c:v>0.489300000000001</c:v>
                </c:pt>
                <c:pt idx="349">
                  <c:v>0.4842</c:v>
                </c:pt>
                <c:pt idx="350">
                  <c:v>0.4784</c:v>
                </c:pt>
                <c:pt idx="351">
                  <c:v>0.4736</c:v>
                </c:pt>
                <c:pt idx="352">
                  <c:v>0.4686</c:v>
                </c:pt>
                <c:pt idx="353">
                  <c:v>0.4635</c:v>
                </c:pt>
                <c:pt idx="354">
                  <c:v>0.4584</c:v>
                </c:pt>
                <c:pt idx="355">
                  <c:v>0.4522</c:v>
                </c:pt>
                <c:pt idx="356">
                  <c:v>0.4465</c:v>
                </c:pt>
                <c:pt idx="357">
                  <c:v>0.4406</c:v>
                </c:pt>
                <c:pt idx="358">
                  <c:v>0.434300000000001</c:v>
                </c:pt>
                <c:pt idx="359">
                  <c:v>0.428800000000001</c:v>
                </c:pt>
                <c:pt idx="360">
                  <c:v>0.4229</c:v>
                </c:pt>
                <c:pt idx="361">
                  <c:v>0.4176</c:v>
                </c:pt>
                <c:pt idx="362">
                  <c:v>0.4121</c:v>
                </c:pt>
                <c:pt idx="363">
                  <c:v>0.4067</c:v>
                </c:pt>
                <c:pt idx="364">
                  <c:v>0.4018</c:v>
                </c:pt>
                <c:pt idx="365">
                  <c:v>0.3967</c:v>
                </c:pt>
                <c:pt idx="366">
                  <c:v>0.390800000000001</c:v>
                </c:pt>
                <c:pt idx="367">
                  <c:v>0.385500000000001</c:v>
                </c:pt>
                <c:pt idx="368">
                  <c:v>0.380000000000001</c:v>
                </c:pt>
                <c:pt idx="369">
                  <c:v>0.3745</c:v>
                </c:pt>
                <c:pt idx="370">
                  <c:v>0.3691</c:v>
                </c:pt>
                <c:pt idx="371">
                  <c:v>0.3626</c:v>
                </c:pt>
                <c:pt idx="372">
                  <c:v>0.3574</c:v>
                </c:pt>
                <c:pt idx="373">
                  <c:v>0.352</c:v>
                </c:pt>
                <c:pt idx="374">
                  <c:v>0.3467</c:v>
                </c:pt>
                <c:pt idx="375">
                  <c:v>0.3419</c:v>
                </c:pt>
                <c:pt idx="376">
                  <c:v>0.336000000000001</c:v>
                </c:pt>
                <c:pt idx="377">
                  <c:v>0.331600000000001</c:v>
                </c:pt>
                <c:pt idx="378">
                  <c:v>0.326900000000001</c:v>
                </c:pt>
                <c:pt idx="379">
                  <c:v>0.320900000000001</c:v>
                </c:pt>
                <c:pt idx="380">
                  <c:v>0.3162</c:v>
                </c:pt>
                <c:pt idx="381">
                  <c:v>0.3106</c:v>
                </c:pt>
                <c:pt idx="382">
                  <c:v>0.3057</c:v>
                </c:pt>
                <c:pt idx="383">
                  <c:v>0.300300000000001</c:v>
                </c:pt>
                <c:pt idx="384">
                  <c:v>0.2952</c:v>
                </c:pt>
                <c:pt idx="385">
                  <c:v>0.2898</c:v>
                </c:pt>
                <c:pt idx="386">
                  <c:v>0.2851</c:v>
                </c:pt>
                <c:pt idx="387">
                  <c:v>0.2802</c:v>
                </c:pt>
                <c:pt idx="388">
                  <c:v>0.2756</c:v>
                </c:pt>
                <c:pt idx="389">
                  <c:v>0.2713</c:v>
                </c:pt>
                <c:pt idx="390">
                  <c:v>0.2671</c:v>
                </c:pt>
                <c:pt idx="391">
                  <c:v>0.2622</c:v>
                </c:pt>
                <c:pt idx="392">
                  <c:v>0.2573</c:v>
                </c:pt>
                <c:pt idx="393">
                  <c:v>0.2531</c:v>
                </c:pt>
                <c:pt idx="394">
                  <c:v>0.2483</c:v>
                </c:pt>
                <c:pt idx="395">
                  <c:v>0.2434</c:v>
                </c:pt>
                <c:pt idx="396">
                  <c:v>0.2389</c:v>
                </c:pt>
                <c:pt idx="397">
                  <c:v>0.234</c:v>
                </c:pt>
                <c:pt idx="398">
                  <c:v>0.229</c:v>
                </c:pt>
                <c:pt idx="399">
                  <c:v>0.2255</c:v>
                </c:pt>
                <c:pt idx="400">
                  <c:v>0.2205</c:v>
                </c:pt>
              </c:numCache>
            </c:numRef>
          </c:yVal>
          <c:smooth val="1"/>
        </c:ser>
        <c:ser>
          <c:idx val="2"/>
          <c:order val="2"/>
          <c:spPr>
            <a:ln w="6350" cap="rnd" cmpd="sng" algn="ctr">
              <a:solidFill>
                <a:schemeClr val="tx1"/>
              </a:solidFill>
              <a:prstDash val="solid"/>
              <a:round/>
            </a:ln>
          </c:spPr>
          <c:marker>
            <c:symbol val="none"/>
          </c:marker>
          <c:dLbls>
            <c:delete val="1"/>
          </c:dLbls>
          <c:xVal>
            <c:numRef>
              <c:f>{630,630}</c:f>
              <c:numCache>
                <c:formatCode>General</c:formatCode>
                <c:ptCount val="2"/>
                <c:pt idx="0">
                  <c:v>630</c:v>
                </c:pt>
                <c:pt idx="1">
                  <c:v>630</c:v>
                </c:pt>
              </c:numCache>
            </c:numRef>
          </c:xVal>
          <c:yVal>
            <c:numRef>
              <c:f>{0,0.7847}</c:f>
              <c:numCache>
                <c:formatCode>General</c:formatCode>
                <c:ptCount val="2"/>
                <c:pt idx="0">
                  <c:v>0</c:v>
                </c:pt>
                <c:pt idx="1">
                  <c:v>0.784700000000001</c:v>
                </c:pt>
              </c:numCache>
            </c:numRef>
          </c:yVal>
          <c:smooth val="1"/>
        </c:ser>
        <c:ser>
          <c:idx val="3"/>
          <c:order val="3"/>
          <c:spPr>
            <a:ln w="6350" cap="rnd" cmpd="sng" algn="ctr">
              <a:solidFill>
                <a:schemeClr val="tx1"/>
              </a:solidFill>
              <a:prstDash val="solid"/>
              <a:round/>
            </a:ln>
          </c:spPr>
          <c:marker>
            <c:symbol val="none"/>
          </c:marker>
          <c:dLbls>
            <c:delete val="1"/>
          </c:dLbls>
          <c:xVal>
            <c:numRef>
              <c:f>{537,537}</c:f>
              <c:numCache>
                <c:formatCode>General</c:formatCode>
                <c:ptCount val="2"/>
                <c:pt idx="0">
                  <c:v>537</c:v>
                </c:pt>
                <c:pt idx="1">
                  <c:v>537</c:v>
                </c:pt>
              </c:numCache>
            </c:numRef>
          </c:xVal>
          <c:yVal>
            <c:numRef>
              <c:f>{0,0.618800000000001}</c:f>
              <c:numCache>
                <c:formatCode>General</c:formatCode>
                <c:ptCount val="2"/>
                <c:pt idx="0">
                  <c:v>0</c:v>
                </c:pt>
                <c:pt idx="1">
                  <c:v>0.618800000000002</c:v>
                </c:pt>
              </c:numCache>
            </c:numRef>
          </c:yVal>
          <c:smooth val="1"/>
        </c:ser>
        <c:ser>
          <c:idx val="4"/>
          <c:order val="4"/>
          <c:spPr>
            <a:ln w="6350" cap="rnd" cmpd="sng" algn="ctr">
              <a:solidFill>
                <a:schemeClr val="tx1"/>
              </a:solidFill>
              <a:prstDash val="solid"/>
              <a:round/>
            </a:ln>
          </c:spPr>
          <c:marker>
            <c:symbol val="none"/>
          </c:marker>
          <c:dLbls>
            <c:delete val="1"/>
          </c:dLbls>
          <c:xVal>
            <c:numRef>
              <c:f>{535,756}</c:f>
              <c:numCache>
                <c:formatCode>General</c:formatCode>
                <c:ptCount val="2"/>
                <c:pt idx="0">
                  <c:v>535</c:v>
                </c:pt>
                <c:pt idx="1">
                  <c:v>756</c:v>
                </c:pt>
              </c:numCache>
            </c:numRef>
          </c:xVal>
          <c:yVal>
            <c:numRef>
              <c:f>{0.447,0.447}</c:f>
              <c:numCache>
                <c:formatCode>General</c:formatCode>
                <c:ptCount val="2"/>
                <c:pt idx="0">
                  <c:v>0.447</c:v>
                </c:pt>
                <c:pt idx="1">
                  <c:v>0.447</c:v>
                </c:pt>
              </c:numCache>
            </c:numRef>
          </c:yVal>
          <c:smooth val="1"/>
        </c:ser>
        <c:ser>
          <c:idx val="5"/>
          <c:order val="5"/>
          <c:spPr>
            <a:ln w="6350" cap="rnd" cmpd="sng" algn="ctr">
              <a:solidFill>
                <a:schemeClr val="tx1"/>
              </a:solidFill>
              <a:prstDash val="solid"/>
              <a:round/>
            </a:ln>
          </c:spPr>
          <c:marker>
            <c:symbol val="none"/>
          </c:marker>
          <c:dLbls>
            <c:delete val="1"/>
          </c:dLbls>
          <c:xVal>
            <c:numRef>
              <c:f>{756,756}</c:f>
              <c:numCache>
                <c:formatCode>General</c:formatCode>
                <c:ptCount val="2"/>
                <c:pt idx="0">
                  <c:v>756</c:v>
                </c:pt>
                <c:pt idx="1">
                  <c:v>756</c:v>
                </c:pt>
              </c:numCache>
            </c:numRef>
          </c:xVal>
          <c:yVal>
            <c:numRef>
              <c:f>{0,0.447}</c:f>
              <c:numCache>
                <c:formatCode>General</c:formatCode>
                <c:ptCount val="2"/>
                <c:pt idx="0">
                  <c:v>0</c:v>
                </c:pt>
                <c:pt idx="1">
                  <c:v>0.447</c:v>
                </c:pt>
              </c:numCache>
            </c:numRef>
          </c:yVal>
          <c:smooth val="1"/>
        </c:ser>
        <c:ser>
          <c:idx val="6"/>
          <c:order val="6"/>
          <c:spPr>
            <a:ln w="6350" cap="rnd" cmpd="sng" algn="ctr">
              <a:solidFill>
                <a:schemeClr val="tx1"/>
              </a:solidFill>
              <a:prstDash val="solid"/>
              <a:round/>
            </a:ln>
          </c:spPr>
          <c:marker>
            <c:symbol val="none"/>
          </c:marker>
          <c:dLbls>
            <c:delete val="1"/>
          </c:dLbls>
          <c:xVal>
            <c:numRef>
              <c:f>{630,431}</c:f>
              <c:numCache>
                <c:formatCode>General</c:formatCode>
                <c:ptCount val="2"/>
                <c:pt idx="0">
                  <c:v>630</c:v>
                </c:pt>
                <c:pt idx="1">
                  <c:v>431</c:v>
                </c:pt>
              </c:numCache>
            </c:numRef>
          </c:xVal>
          <c:yVal>
            <c:numRef>
              <c:f>{0.353,0.353}</c:f>
              <c:numCache>
                <c:formatCode>General</c:formatCode>
                <c:ptCount val="2"/>
                <c:pt idx="0">
                  <c:v>0.353</c:v>
                </c:pt>
                <c:pt idx="1">
                  <c:v>0.353</c:v>
                </c:pt>
              </c:numCache>
            </c:numRef>
          </c:yVal>
          <c:smooth val="1"/>
        </c:ser>
        <c:ser>
          <c:idx val="7"/>
          <c:order val="7"/>
          <c:spPr>
            <a:ln w="6350" cap="rnd" cmpd="sng" algn="ctr">
              <a:solidFill>
                <a:schemeClr val="tx1"/>
              </a:solidFill>
              <a:prstDash val="solid"/>
              <a:round/>
            </a:ln>
          </c:spPr>
          <c:marker>
            <c:symbol val="none"/>
          </c:marker>
          <c:dLbls>
            <c:delete val="1"/>
          </c:dLbls>
          <c:xVal>
            <c:numRef>
              <c:f>{431,431}</c:f>
              <c:numCache>
                <c:formatCode>General</c:formatCode>
                <c:ptCount val="2"/>
                <c:pt idx="0">
                  <c:v>431</c:v>
                </c:pt>
                <c:pt idx="1">
                  <c:v>431</c:v>
                </c:pt>
              </c:numCache>
            </c:numRef>
          </c:xVal>
          <c:yVal>
            <c:numRef>
              <c:f>{0,0.352}</c:f>
              <c:numCache>
                <c:formatCode>General</c:formatCode>
                <c:ptCount val="2"/>
                <c:pt idx="0">
                  <c:v>0</c:v>
                </c:pt>
                <c:pt idx="1">
                  <c:v>0.352</c:v>
                </c:pt>
              </c:numCache>
            </c:numRef>
          </c:yVal>
          <c:smooth val="1"/>
        </c:ser>
        <c:dLbls>
          <c:showLegendKey val="0"/>
          <c:showVal val="0"/>
          <c:showCatName val="0"/>
          <c:showSerName val="0"/>
          <c:showPercent val="0"/>
          <c:showBubbleSize val="0"/>
        </c:dLbls>
        <c:axId val="241436544"/>
        <c:axId val="241438080"/>
      </c:scatterChart>
      <c:valAx>
        <c:axId val="241436544"/>
        <c:scaling>
          <c:orientation val="minMax"/>
          <c:max val="900"/>
          <c:min val="300"/>
        </c:scaling>
        <c:delete val="0"/>
        <c:axPos val="b"/>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41438080"/>
        <c:crosses val="autoZero"/>
        <c:crossBetween val="midCat"/>
        <c:majorUnit val="100"/>
        <c:minorUnit val="50"/>
      </c:valAx>
      <c:valAx>
        <c:axId val="241438080"/>
        <c:scaling>
          <c:orientation val="minMax"/>
        </c:scaling>
        <c:delete val="0"/>
        <c:axPos val="l"/>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41436544"/>
        <c:crosses val="autoZero"/>
        <c:crossBetween val="midCat"/>
      </c:valAx>
    </c:plotArea>
    <c:plotVisOnly val="1"/>
    <c:dispBlanksAs val="gap"/>
    <c:showDLblsOverMax val="0"/>
  </c:chart>
  <c:txPr>
    <a:bodyPr/>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textRotate="1"/>
    <customShpInfo spid="_x0000_s1038"/>
    <customShpInfo spid="_x0000_s1037"/>
    <customShpInfo spid="_x0000_s1036"/>
    <customShpInfo spid="_x0000_s1033"/>
    <customShpInfo spid="_x0000_s1034"/>
    <customShpInfo spid="_x0000_s1035"/>
    <customShpInfo spid="_x0000_s1039"/>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3D25B2-E95F-444C-A7BC-A2D007BF8BCB}">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16</Pages>
  <Words>1524</Words>
  <Characters>8691</Characters>
  <Lines>72</Lines>
  <Paragraphs>20</Paragraphs>
  <TotalTime>344</TotalTime>
  <ScaleCrop>false</ScaleCrop>
  <LinksUpToDate>false</LinksUpToDate>
  <CharactersWithSpaces>10195</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2021-07-16T04:04:00Z</dcterms:created>
  <dc:creator>Administrator</dc:creator>
  <cp:lastModifiedBy>酒满</cp:lastModifiedBy>
  <cp:lastPrinted>2021-07-15T07:38:00Z</cp:lastPrinted>
  <dcterms:modified xsi:type="dcterms:W3CDTF">2021-07-22T06:53:49Z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B93114565A8045D1A84C1C15F21B9B72</vt:lpwstr>
  </property>
</Properties>
</file>